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CF0A7D" w:rsidRPr="00BE1024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sídlem</w:t>
      </w:r>
      <w:r w:rsidR="00AA2176">
        <w:rPr>
          <w:rFonts w:ascii="Tahoma" w:hAnsi="Tahoma" w:cs="Tahoma"/>
          <w:sz w:val="21"/>
          <w:szCs w:val="21"/>
        </w:rPr>
        <w:t>: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sz w:val="21"/>
          <w:szCs w:val="21"/>
        </w:rPr>
        <w:t>Radniční 1148,</w:t>
      </w:r>
      <w:r w:rsidR="00504BC0" w:rsidRPr="00BE1024">
        <w:rPr>
          <w:rFonts w:ascii="Tahoma" w:hAnsi="Tahoma" w:cs="Tahoma"/>
          <w:sz w:val="21"/>
          <w:szCs w:val="21"/>
        </w:rPr>
        <w:t xml:space="preserve"> Frýdek, 738</w:t>
      </w:r>
      <w:r w:rsidR="00DE14F8" w:rsidRPr="00BE1024">
        <w:rPr>
          <w:rFonts w:ascii="Tahoma" w:hAnsi="Tahoma" w:cs="Tahoma"/>
          <w:sz w:val="21"/>
          <w:szCs w:val="21"/>
        </w:rPr>
        <w:t>01</w:t>
      </w:r>
      <w:r w:rsidR="00504BC0" w:rsidRPr="00BE1024">
        <w:rPr>
          <w:rFonts w:ascii="Tahoma" w:hAnsi="Tahoma" w:cs="Tahoma"/>
          <w:sz w:val="21"/>
          <w:szCs w:val="21"/>
        </w:rPr>
        <w:t xml:space="preserve"> Frýdek-Místek</w:t>
      </w:r>
    </w:p>
    <w:p w:rsidR="00CF0A7D" w:rsidRPr="00BE1024" w:rsidRDefault="00AA2176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zastoupeno: </w:t>
      </w:r>
      <w:r w:rsidR="00017FE0">
        <w:rPr>
          <w:rFonts w:ascii="Tahoma" w:hAnsi="Tahoma" w:cs="Tahoma"/>
          <w:sz w:val="21"/>
          <w:szCs w:val="21"/>
        </w:rPr>
        <w:t xml:space="preserve">Petrem </w:t>
      </w:r>
      <w:proofErr w:type="spellStart"/>
      <w:r w:rsidR="00017FE0">
        <w:rPr>
          <w:rFonts w:ascii="Tahoma" w:hAnsi="Tahoma" w:cs="Tahoma"/>
          <w:sz w:val="21"/>
          <w:szCs w:val="21"/>
        </w:rPr>
        <w:t>Korčem</w:t>
      </w:r>
      <w:proofErr w:type="spellEnd"/>
      <w:r w:rsidR="00DE14F8" w:rsidRPr="00BE1024">
        <w:rPr>
          <w:rFonts w:ascii="Tahoma" w:hAnsi="Tahoma" w:cs="Tahoma"/>
          <w:sz w:val="21"/>
          <w:szCs w:val="21"/>
        </w:rPr>
        <w:t>, primátor</w:t>
      </w:r>
      <w:r>
        <w:rPr>
          <w:rFonts w:ascii="Tahoma" w:hAnsi="Tahoma" w:cs="Tahoma"/>
          <w:sz w:val="21"/>
          <w:szCs w:val="21"/>
        </w:rPr>
        <w:t>em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IČ:  00296643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DIČ: CZ00296643</w:t>
      </w:r>
    </w:p>
    <w:p w:rsidR="006F6C91" w:rsidRPr="00BE1024" w:rsidRDefault="006F6C9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="000D4801" w:rsidRPr="00BE1024" w:rsidRDefault="000D480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 datové schránky: w4wbu9s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kontaktní osoba ve věcech technických:</w:t>
      </w:r>
    </w:p>
    <w:p w:rsidR="009729AA" w:rsidRPr="00BE1024" w:rsidRDefault="009729AA" w:rsidP="009729AA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392BDD" w:rsidRPr="00BE1024">
        <w:rPr>
          <w:rFonts w:ascii="Tahoma" w:hAnsi="Tahoma" w:cs="Tahoma"/>
          <w:sz w:val="21"/>
          <w:szCs w:val="21"/>
        </w:rPr>
        <w:t>Ing</w:t>
      </w:r>
      <w:r w:rsidRPr="00BE1024">
        <w:rPr>
          <w:rFonts w:ascii="Tahoma" w:hAnsi="Tahoma" w:cs="Tahoma"/>
          <w:sz w:val="21"/>
          <w:szCs w:val="21"/>
        </w:rPr>
        <w:t xml:space="preserve">. </w:t>
      </w:r>
      <w:r w:rsidR="00E27801" w:rsidRPr="00BE1024">
        <w:rPr>
          <w:rFonts w:ascii="Tahoma" w:hAnsi="Tahoma" w:cs="Tahoma"/>
          <w:sz w:val="21"/>
          <w:szCs w:val="21"/>
        </w:rPr>
        <w:t>Dagmar Hor</w:t>
      </w:r>
      <w:r w:rsidR="0026196A">
        <w:rPr>
          <w:rFonts w:ascii="Tahoma" w:hAnsi="Tahoma" w:cs="Tahoma"/>
          <w:sz w:val="21"/>
          <w:szCs w:val="21"/>
        </w:rPr>
        <w:t>u</w:t>
      </w:r>
      <w:r w:rsidR="0048387F">
        <w:rPr>
          <w:rFonts w:ascii="Tahoma" w:hAnsi="Tahoma" w:cs="Tahoma"/>
          <w:sz w:val="21"/>
          <w:szCs w:val="21"/>
        </w:rPr>
        <w:t>no</w:t>
      </w:r>
      <w:r w:rsidR="00E27801" w:rsidRPr="00BE1024">
        <w:rPr>
          <w:rFonts w:ascii="Tahoma" w:hAnsi="Tahoma" w:cs="Tahoma"/>
          <w:sz w:val="21"/>
          <w:szCs w:val="21"/>
        </w:rPr>
        <w:t>vá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technik</w:t>
      </w:r>
      <w:r w:rsidR="00392BDD" w:rsidRPr="00BE1024">
        <w:rPr>
          <w:rFonts w:ascii="Tahoma" w:hAnsi="Tahoma" w:cs="Tahoma"/>
          <w:sz w:val="21"/>
          <w:szCs w:val="21"/>
        </w:rPr>
        <w:t xml:space="preserve"> oddělení správy budov, OSOM</w:t>
      </w:r>
    </w:p>
    <w:p w:rsidR="009729AA" w:rsidRPr="00BE1024" w:rsidRDefault="009729AA" w:rsidP="009729AA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26196A">
        <w:rPr>
          <w:rFonts w:ascii="Tahoma" w:hAnsi="Tahoma" w:cs="Tahoma"/>
          <w:sz w:val="21"/>
          <w:szCs w:val="21"/>
        </w:rPr>
        <w:t>185</w:t>
      </w:r>
      <w:r w:rsidRPr="00BE1024">
        <w:rPr>
          <w:rFonts w:ascii="Tahoma" w:hAnsi="Tahoma" w:cs="Tahoma"/>
          <w:sz w:val="21"/>
          <w:szCs w:val="21"/>
        </w:rPr>
        <w:t>/ email:</w:t>
      </w:r>
      <w:r w:rsidR="00392BDD" w:rsidRPr="00BE1024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hor</w:t>
        </w:r>
        <w:r w:rsidR="0026196A">
          <w:rPr>
            <w:rStyle w:val="Hypertextovodkaz"/>
            <w:rFonts w:ascii="Tahoma" w:hAnsi="Tahoma" w:cs="Tahoma"/>
            <w:sz w:val="21"/>
            <w:szCs w:val="21"/>
          </w:rPr>
          <w:t>ut</w:t>
        </w:r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ova.dagmar@frydekmistek.cz</w:t>
        </w:r>
      </w:hyperlink>
    </w:p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BE1024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BE1024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BE1024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r w:rsidR="0026196A" w:rsidRPr="0026196A">
        <w:rPr>
          <w:rFonts w:ascii="Tahoma" w:hAnsi="Tahoma" w:cs="Tahoma"/>
          <w:b/>
          <w:sz w:val="21"/>
          <w:szCs w:val="21"/>
        </w:rPr>
        <w:t>Rekonstrukce 2 bytových jednotek 3+1, na ul. ČSA 799 a ul. Anenská 689, ve Frýdku-Místku</w:t>
      </w:r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DA5228" w:rsidRDefault="005748CC" w:rsidP="00DA5228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>bjednatel má zájem provést</w:t>
      </w:r>
      <w:r w:rsidR="00D7635E" w:rsidRPr="00BE1024">
        <w:rPr>
          <w:rFonts w:ascii="Tahoma" w:hAnsi="Tahoma" w:cs="Tahoma"/>
          <w:sz w:val="21"/>
          <w:szCs w:val="21"/>
        </w:rPr>
        <w:t xml:space="preserve"> </w:t>
      </w:r>
      <w:bookmarkStart w:id="0" w:name="_Hlk191533550"/>
      <w:r w:rsidR="0048387F">
        <w:rPr>
          <w:rFonts w:ascii="Tahoma" w:hAnsi="Tahoma" w:cs="Tahoma"/>
          <w:sz w:val="21"/>
          <w:szCs w:val="21"/>
        </w:rPr>
        <w:t>r</w:t>
      </w:r>
      <w:r w:rsidR="0048387F" w:rsidRPr="0048387F">
        <w:rPr>
          <w:rFonts w:ascii="Tahoma" w:hAnsi="Tahoma" w:cs="Tahoma"/>
          <w:sz w:val="21"/>
          <w:szCs w:val="21"/>
        </w:rPr>
        <w:t>ekonstrukc</w:t>
      </w:r>
      <w:r w:rsidR="0048387F">
        <w:rPr>
          <w:rFonts w:ascii="Tahoma" w:hAnsi="Tahoma" w:cs="Tahoma"/>
          <w:sz w:val="21"/>
          <w:szCs w:val="21"/>
        </w:rPr>
        <w:t>i</w:t>
      </w:r>
      <w:r w:rsidR="0048387F" w:rsidRPr="0048387F">
        <w:rPr>
          <w:rFonts w:ascii="Tahoma" w:hAnsi="Tahoma" w:cs="Tahoma"/>
          <w:sz w:val="21"/>
          <w:szCs w:val="21"/>
        </w:rPr>
        <w:t xml:space="preserve"> bytové jednotky č. </w:t>
      </w:r>
      <w:r w:rsidR="0026196A">
        <w:rPr>
          <w:rFonts w:ascii="Tahoma" w:hAnsi="Tahoma" w:cs="Tahoma"/>
          <w:sz w:val="21"/>
          <w:szCs w:val="21"/>
        </w:rPr>
        <w:t>28</w:t>
      </w:r>
      <w:r w:rsidR="0048387F" w:rsidRPr="0048387F">
        <w:rPr>
          <w:rFonts w:ascii="Tahoma" w:hAnsi="Tahoma" w:cs="Tahoma"/>
          <w:sz w:val="21"/>
          <w:szCs w:val="21"/>
        </w:rPr>
        <w:t xml:space="preserve">, </w:t>
      </w:r>
      <w:r w:rsidR="0048387F">
        <w:rPr>
          <w:rFonts w:ascii="Tahoma" w:hAnsi="Tahoma" w:cs="Tahoma"/>
          <w:sz w:val="21"/>
          <w:szCs w:val="21"/>
        </w:rPr>
        <w:t xml:space="preserve">na </w:t>
      </w:r>
      <w:r w:rsidR="0048387F" w:rsidRPr="0048387F">
        <w:rPr>
          <w:rFonts w:ascii="Tahoma" w:hAnsi="Tahoma" w:cs="Tahoma"/>
          <w:sz w:val="21"/>
          <w:szCs w:val="21"/>
        </w:rPr>
        <w:t>ul.</w:t>
      </w:r>
      <w:r w:rsidR="0026196A">
        <w:rPr>
          <w:rFonts w:ascii="Tahoma" w:hAnsi="Tahoma" w:cs="Tahoma"/>
          <w:sz w:val="21"/>
          <w:szCs w:val="21"/>
        </w:rPr>
        <w:t xml:space="preserve"> ČSA 799</w:t>
      </w:r>
      <w:r w:rsidR="0048387F" w:rsidRPr="0048387F">
        <w:rPr>
          <w:rFonts w:ascii="Tahoma" w:hAnsi="Tahoma" w:cs="Tahoma"/>
          <w:sz w:val="21"/>
          <w:szCs w:val="21"/>
        </w:rPr>
        <w:t xml:space="preserve"> a bytové jednotky č. </w:t>
      </w:r>
      <w:r w:rsidR="0026196A">
        <w:rPr>
          <w:rFonts w:ascii="Tahoma" w:hAnsi="Tahoma" w:cs="Tahoma"/>
          <w:sz w:val="21"/>
          <w:szCs w:val="21"/>
        </w:rPr>
        <w:t>15</w:t>
      </w:r>
      <w:r w:rsidR="0048387F" w:rsidRPr="0048387F">
        <w:rPr>
          <w:rFonts w:ascii="Tahoma" w:hAnsi="Tahoma" w:cs="Tahoma"/>
          <w:sz w:val="21"/>
          <w:szCs w:val="21"/>
        </w:rPr>
        <w:t xml:space="preserve">, </w:t>
      </w:r>
      <w:r w:rsidR="0048387F">
        <w:rPr>
          <w:rFonts w:ascii="Tahoma" w:hAnsi="Tahoma" w:cs="Tahoma"/>
          <w:sz w:val="21"/>
          <w:szCs w:val="21"/>
        </w:rPr>
        <w:t xml:space="preserve">na </w:t>
      </w:r>
      <w:r w:rsidR="0048387F" w:rsidRPr="0048387F">
        <w:rPr>
          <w:rFonts w:ascii="Tahoma" w:hAnsi="Tahoma" w:cs="Tahoma"/>
          <w:sz w:val="21"/>
          <w:szCs w:val="21"/>
        </w:rPr>
        <w:t xml:space="preserve">ul. </w:t>
      </w:r>
      <w:r w:rsidR="0026196A">
        <w:rPr>
          <w:rFonts w:ascii="Tahoma" w:hAnsi="Tahoma" w:cs="Tahoma"/>
          <w:sz w:val="21"/>
          <w:szCs w:val="21"/>
        </w:rPr>
        <w:t>Anenské 689</w:t>
      </w:r>
      <w:r w:rsidR="0048387F" w:rsidRPr="0048387F">
        <w:rPr>
          <w:rFonts w:ascii="Tahoma" w:hAnsi="Tahoma" w:cs="Tahoma"/>
          <w:sz w:val="21"/>
          <w:szCs w:val="21"/>
        </w:rPr>
        <w:t>,</w:t>
      </w:r>
      <w:r w:rsidR="0026196A">
        <w:rPr>
          <w:rFonts w:ascii="Tahoma" w:hAnsi="Tahoma" w:cs="Tahoma"/>
          <w:sz w:val="21"/>
          <w:szCs w:val="21"/>
        </w:rPr>
        <w:t xml:space="preserve"> ve</w:t>
      </w:r>
      <w:r w:rsidR="0048387F" w:rsidRPr="0048387F">
        <w:rPr>
          <w:rFonts w:ascii="Tahoma" w:hAnsi="Tahoma" w:cs="Tahoma"/>
          <w:sz w:val="21"/>
          <w:szCs w:val="21"/>
        </w:rPr>
        <w:t xml:space="preserve"> Frýdk</w:t>
      </w:r>
      <w:r w:rsidR="0026196A">
        <w:rPr>
          <w:rFonts w:ascii="Tahoma" w:hAnsi="Tahoma" w:cs="Tahoma"/>
          <w:sz w:val="21"/>
          <w:szCs w:val="21"/>
        </w:rPr>
        <w:t>u</w:t>
      </w:r>
      <w:r w:rsidR="0048387F" w:rsidRPr="0048387F">
        <w:rPr>
          <w:rFonts w:ascii="Tahoma" w:hAnsi="Tahoma" w:cs="Tahoma"/>
          <w:sz w:val="21"/>
          <w:szCs w:val="21"/>
        </w:rPr>
        <w:t>-Místk</w:t>
      </w:r>
      <w:r w:rsidR="0026196A">
        <w:rPr>
          <w:rFonts w:ascii="Tahoma" w:hAnsi="Tahoma" w:cs="Tahoma"/>
          <w:sz w:val="21"/>
          <w:szCs w:val="21"/>
        </w:rPr>
        <w:t>u</w:t>
      </w:r>
      <w:r w:rsidR="0011058A" w:rsidRPr="00DA5228">
        <w:rPr>
          <w:rFonts w:ascii="Tahoma" w:hAnsi="Tahoma" w:cs="Tahoma"/>
          <w:sz w:val="21"/>
          <w:szCs w:val="21"/>
        </w:rPr>
        <w:t xml:space="preserve"> </w:t>
      </w:r>
      <w:bookmarkEnd w:id="0"/>
      <w:r w:rsidR="0011058A" w:rsidRPr="00DA5228">
        <w:rPr>
          <w:rFonts w:ascii="Tahoma" w:hAnsi="Tahoma" w:cs="Tahoma"/>
          <w:sz w:val="21"/>
          <w:szCs w:val="21"/>
        </w:rPr>
        <w:t xml:space="preserve">a </w:t>
      </w:r>
      <w:r w:rsidR="00672D01" w:rsidRPr="00DA5228">
        <w:rPr>
          <w:rFonts w:ascii="Tahoma" w:hAnsi="Tahoma" w:cs="Tahoma"/>
          <w:sz w:val="21"/>
          <w:szCs w:val="21"/>
        </w:rPr>
        <w:t>z</w:t>
      </w:r>
      <w:r w:rsidR="00DE14F8" w:rsidRPr="00DA5228">
        <w:rPr>
          <w:rFonts w:ascii="Tahoma" w:hAnsi="Tahoma" w:cs="Tahoma"/>
          <w:sz w:val="21"/>
          <w:szCs w:val="21"/>
        </w:rPr>
        <w:t>a tím</w:t>
      </w:r>
      <w:r w:rsidR="00672D01" w:rsidRPr="00DA5228">
        <w:rPr>
          <w:rFonts w:ascii="Tahoma" w:hAnsi="Tahoma" w:cs="Tahoma"/>
          <w:sz w:val="21"/>
          <w:szCs w:val="21"/>
        </w:rPr>
        <w:t>to</w:t>
      </w:r>
      <w:r w:rsidR="0011058A" w:rsidRPr="00DA5228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DA5228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DA5228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DA5228">
        <w:rPr>
          <w:rFonts w:ascii="Tahoma" w:hAnsi="Tahoma" w:cs="Tahoma"/>
          <w:sz w:val="21"/>
          <w:szCs w:val="21"/>
        </w:rPr>
        <w:t>mimo režim</w:t>
      </w:r>
      <w:r w:rsidR="00672D01" w:rsidRPr="00DA5228">
        <w:rPr>
          <w:rFonts w:ascii="Tahoma" w:hAnsi="Tahoma" w:cs="Tahoma"/>
          <w:sz w:val="21"/>
          <w:szCs w:val="21"/>
        </w:rPr>
        <w:t xml:space="preserve"> </w:t>
      </w:r>
      <w:r w:rsidR="00D136DA" w:rsidRPr="00DA5228">
        <w:rPr>
          <w:rFonts w:ascii="Tahoma" w:hAnsi="Tahoma" w:cs="Tahoma"/>
          <w:sz w:val="21"/>
          <w:szCs w:val="21"/>
        </w:rPr>
        <w:t>zákona č.</w:t>
      </w:r>
      <w:r w:rsidR="00BB3DD7" w:rsidRPr="00DA5228">
        <w:rPr>
          <w:rFonts w:ascii="Tahoma" w:hAnsi="Tahoma" w:cs="Tahoma"/>
          <w:sz w:val="21"/>
          <w:szCs w:val="21"/>
        </w:rPr>
        <w:t xml:space="preserve"> 134/201</w:t>
      </w:r>
      <w:r w:rsidR="00DE14F8" w:rsidRPr="00DA5228">
        <w:rPr>
          <w:rFonts w:ascii="Tahoma" w:hAnsi="Tahoma" w:cs="Tahoma"/>
          <w:sz w:val="21"/>
          <w:szCs w:val="21"/>
        </w:rPr>
        <w:t xml:space="preserve">6 Sb., o </w:t>
      </w:r>
      <w:r w:rsidR="00BB3DD7" w:rsidRPr="00DA5228">
        <w:rPr>
          <w:rFonts w:ascii="Tahoma" w:hAnsi="Tahoma" w:cs="Tahoma"/>
          <w:sz w:val="21"/>
          <w:szCs w:val="21"/>
        </w:rPr>
        <w:t xml:space="preserve">zadávání </w:t>
      </w:r>
      <w:r w:rsidR="00DE14F8" w:rsidRPr="00DA5228">
        <w:rPr>
          <w:rFonts w:ascii="Tahoma" w:hAnsi="Tahoma" w:cs="Tahoma"/>
          <w:sz w:val="21"/>
          <w:szCs w:val="21"/>
        </w:rPr>
        <w:t>veřejných zakáz</w:t>
      </w:r>
      <w:r w:rsidR="00BB3DD7" w:rsidRPr="00DA5228">
        <w:rPr>
          <w:rFonts w:ascii="Tahoma" w:hAnsi="Tahoma" w:cs="Tahoma"/>
          <w:sz w:val="21"/>
          <w:szCs w:val="21"/>
        </w:rPr>
        <w:t>e</w:t>
      </w:r>
      <w:r w:rsidR="00DE14F8" w:rsidRPr="00DA5228">
        <w:rPr>
          <w:rFonts w:ascii="Tahoma" w:hAnsi="Tahoma" w:cs="Tahoma"/>
          <w:sz w:val="21"/>
          <w:szCs w:val="21"/>
        </w:rPr>
        <w:t>k, ve znění pozdějšíc</w:t>
      </w:r>
      <w:r w:rsidR="00672D01" w:rsidRPr="00DA5228">
        <w:rPr>
          <w:rFonts w:ascii="Tahoma" w:hAnsi="Tahoma" w:cs="Tahoma"/>
          <w:sz w:val="21"/>
          <w:szCs w:val="21"/>
        </w:rPr>
        <w:t xml:space="preserve">h předpisů (dále jen </w:t>
      </w:r>
      <w:r w:rsidRPr="00DA5228">
        <w:rPr>
          <w:rFonts w:ascii="Tahoma" w:hAnsi="Tahoma" w:cs="Tahoma"/>
          <w:sz w:val="21"/>
          <w:szCs w:val="21"/>
        </w:rPr>
        <w:t>Z</w:t>
      </w:r>
      <w:r w:rsidR="00672D01" w:rsidRPr="00DA5228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DA5228">
        <w:rPr>
          <w:rFonts w:ascii="Tahoma" w:hAnsi="Tahoma" w:cs="Tahoma"/>
          <w:sz w:val="21"/>
          <w:szCs w:val="21"/>
        </w:rPr>
        <w:t>vnitřní směrnic</w:t>
      </w:r>
      <w:r w:rsidR="009244CE" w:rsidRPr="00DA5228">
        <w:rPr>
          <w:rFonts w:ascii="Tahoma" w:hAnsi="Tahoma" w:cs="Tahoma"/>
          <w:sz w:val="21"/>
          <w:szCs w:val="21"/>
        </w:rPr>
        <w:t>í</w:t>
      </w:r>
      <w:r w:rsidR="00DE14F8" w:rsidRPr="00DA5228">
        <w:rPr>
          <w:rFonts w:ascii="Tahoma" w:hAnsi="Tahoma" w:cs="Tahoma"/>
          <w:sz w:val="21"/>
          <w:szCs w:val="21"/>
        </w:rPr>
        <w:t xml:space="preserve"> QS-74-01</w:t>
      </w:r>
      <w:r w:rsidR="00F16F49" w:rsidRPr="00DA5228">
        <w:rPr>
          <w:rFonts w:ascii="Tahoma" w:hAnsi="Tahoma" w:cs="Tahoma"/>
          <w:sz w:val="21"/>
          <w:szCs w:val="21"/>
        </w:rPr>
        <w:t>,</w:t>
      </w:r>
      <w:r w:rsidR="005A3F38" w:rsidRPr="00DA5228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lastRenderedPageBreak/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BE1024">
        <w:rPr>
          <w:rFonts w:ascii="Tahoma" w:hAnsi="Tahoma" w:cs="Tahoma"/>
          <w:sz w:val="21"/>
          <w:szCs w:val="21"/>
        </w:rPr>
        <w:t xml:space="preserve"> </w:t>
      </w:r>
      <w:r w:rsidR="0026196A" w:rsidRPr="0026196A">
        <w:rPr>
          <w:rFonts w:ascii="Tahoma" w:hAnsi="Tahoma" w:cs="Tahoma"/>
          <w:sz w:val="21"/>
          <w:szCs w:val="21"/>
        </w:rPr>
        <w:t>rekonstrukci bytové jednotky č. 28, na ul. ČSA 799 a bytové jednotky č. 15, na ul. Anenské 689, ve Frýdku-Místku</w:t>
      </w:r>
      <w:r w:rsidR="00C475DB" w:rsidRPr="00BE1024">
        <w:rPr>
          <w:rFonts w:ascii="Tahoma" w:hAnsi="Tahoma" w:cs="Tahoma"/>
          <w:sz w:val="21"/>
          <w:szCs w:val="21"/>
        </w:rPr>
        <w:t>, 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Bohumilem Vojtíškem</w:t>
      </w:r>
      <w:r w:rsidR="0097570D" w:rsidRPr="00BE1024">
        <w:rPr>
          <w:rFonts w:ascii="Tahoma" w:hAnsi="Tahoma" w:cs="Tahoma"/>
          <w:bCs/>
          <w:sz w:val="21"/>
          <w:szCs w:val="21"/>
        </w:rPr>
        <w:t xml:space="preserve">, </w:t>
      </w:r>
      <w:r w:rsidR="00FC756C" w:rsidRPr="00BE1024">
        <w:rPr>
          <w:rFonts w:ascii="Tahoma" w:hAnsi="Tahoma" w:cs="Tahoma"/>
          <w:bCs/>
          <w:sz w:val="21"/>
          <w:szCs w:val="21"/>
        </w:rPr>
        <w:t>Lučina 141</w:t>
      </w:r>
      <w:r w:rsidR="0097570D" w:rsidRPr="00BE1024">
        <w:rPr>
          <w:rFonts w:ascii="Tahoma" w:hAnsi="Tahoma" w:cs="Tahoma"/>
          <w:sz w:val="21"/>
          <w:szCs w:val="21"/>
        </w:rPr>
        <w:t>, 73</w:t>
      </w:r>
      <w:r w:rsidR="00FC756C" w:rsidRPr="00BE1024">
        <w:rPr>
          <w:rFonts w:ascii="Tahoma" w:hAnsi="Tahoma" w:cs="Tahoma"/>
          <w:sz w:val="21"/>
          <w:szCs w:val="21"/>
        </w:rPr>
        <w:t>9</w:t>
      </w:r>
      <w:r w:rsidR="0097570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39</w:t>
      </w:r>
      <w:r w:rsidR="0097570D" w:rsidRPr="00BE1024">
        <w:rPr>
          <w:rFonts w:ascii="Tahoma" w:hAnsi="Tahoma" w:cs="Tahoma"/>
          <w:sz w:val="21"/>
          <w:szCs w:val="21"/>
        </w:rPr>
        <w:t xml:space="preserve"> </w:t>
      </w:r>
      <w:r w:rsidR="00FC756C" w:rsidRPr="00BE1024">
        <w:rPr>
          <w:rFonts w:ascii="Tahoma" w:hAnsi="Tahoma" w:cs="Tahoma"/>
          <w:sz w:val="21"/>
          <w:szCs w:val="21"/>
        </w:rPr>
        <w:t>Lučina</w:t>
      </w:r>
      <w:r w:rsidR="0097570D" w:rsidRPr="00BE1024">
        <w:rPr>
          <w:rFonts w:ascii="Tahoma" w:hAnsi="Tahoma" w:cs="Tahoma"/>
          <w:sz w:val="21"/>
          <w:szCs w:val="21"/>
        </w:rPr>
        <w:t xml:space="preserve">, </w:t>
      </w:r>
      <w:r w:rsidRPr="00BE1024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BE1024">
        <w:rPr>
          <w:rFonts w:ascii="Tahoma" w:hAnsi="Tahoma" w:cs="Tahoma"/>
          <w:sz w:val="21"/>
          <w:szCs w:val="21"/>
        </w:rPr>
        <w:t>jejíž součástí je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BE1024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o odpadech a o změně některých dalších zákonů, ve znění pozdějších předpisů (dále jen „zákon o odpadech“);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BE1024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BE1024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2D3E26" w:rsidRPr="00BE1024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zadáním a projektovou dokumentací stavby</w:t>
      </w:r>
    </w:p>
    <w:p w:rsidR="002D3E26" w:rsidRPr="00E577D8" w:rsidRDefault="00E577D8" w:rsidP="00134C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E67F48">
        <w:rPr>
          <w:rFonts w:ascii="Tahoma" w:hAnsi="Tahoma" w:cs="Tahoma"/>
          <w:color w:val="000000" w:themeColor="text1"/>
          <w:sz w:val="21"/>
          <w:szCs w:val="21"/>
        </w:rPr>
        <w:t>se zákonem č. 283/2021 Sb., stavební zákon, ve znění pozdějších předpisů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vyhláškou č.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131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/20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24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Sb., o dokumentaci staveb</w:t>
      </w:r>
      <w:r w:rsidRPr="00E67F48">
        <w:rPr>
          <w:rFonts w:ascii="Tahoma" w:hAnsi="Tahoma" w:cs="Tahoma"/>
          <w:color w:val="000000" w:themeColor="text1"/>
          <w:sz w:val="21"/>
          <w:szCs w:val="21"/>
          <w:lang w:eastAsia="cs-CZ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v platném znění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color w:val="000000" w:themeColor="text1"/>
        </w:rPr>
        <w:t xml:space="preserve"> </w:t>
      </w:r>
      <w:r w:rsidR="002D3E26" w:rsidRPr="00E577D8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2D3E26" w:rsidRPr="00BE1024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BE1024">
        <w:rPr>
          <w:rFonts w:ascii="Tahoma" w:hAnsi="Tahoma" w:cs="Tahoma"/>
          <w:sz w:val="21"/>
          <w:szCs w:val="21"/>
        </w:rPr>
        <w:t>kvalita a způsob její kontroly</w:t>
      </w:r>
    </w:p>
    <w:p w:rsidR="004E1C8D" w:rsidRPr="00BE1024" w:rsidRDefault="00980977" w:rsidP="004E1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</w:t>
      </w:r>
      <w:r w:rsidR="003D2128">
        <w:rPr>
          <w:rFonts w:ascii="Tahoma" w:hAnsi="Tahoma" w:cs="Tahoma"/>
          <w:sz w:val="21"/>
          <w:szCs w:val="21"/>
        </w:rPr>
        <w:t>ů</w:t>
      </w:r>
      <w:r w:rsidRPr="00BE1024">
        <w:rPr>
          <w:rFonts w:ascii="Tahoma" w:hAnsi="Tahoma" w:cs="Tahoma"/>
          <w:sz w:val="21"/>
          <w:szCs w:val="21"/>
        </w:rPr>
        <w:t xml:space="preserve"> pro daný typ staveb a z toho vyplývající kvality díla, při použití běžných materiálů, standardních výrobků a konstrukcí zaručujících vlastnosti podle stavebního zákona a nařízení vlády č. 163/2002 Sb., kterým se stanoví technické požadavky na vybrané stavební výrobky, </w:t>
      </w:r>
      <w:r w:rsidRPr="00BE1024">
        <w:rPr>
          <w:rFonts w:ascii="Tahoma" w:hAnsi="Tahoma" w:cs="Tahoma"/>
          <w:sz w:val="21"/>
          <w:szCs w:val="21"/>
        </w:rPr>
        <w:lastRenderedPageBreak/>
        <w:t>v souladu se zákonem č. 22/1997 Sb.</w:t>
      </w:r>
      <w:r w:rsidR="00CD61BB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BE1024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BE1024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BE1024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do</w:t>
      </w:r>
      <w:r w:rsidR="0084194A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26196A">
        <w:rPr>
          <w:rFonts w:ascii="Tahoma" w:hAnsi="Tahoma" w:cs="Tahoma"/>
          <w:b/>
          <w:sz w:val="21"/>
          <w:szCs w:val="21"/>
          <w:lang w:eastAsia="cs-CZ"/>
        </w:rPr>
        <w:t>5</w:t>
      </w:r>
      <w:r w:rsidR="004439ED" w:rsidRPr="00BE1024">
        <w:rPr>
          <w:rFonts w:ascii="Tahoma" w:hAnsi="Tahoma" w:cs="Tahoma"/>
          <w:b/>
          <w:sz w:val="21"/>
          <w:szCs w:val="21"/>
          <w:lang w:eastAsia="cs-CZ"/>
        </w:rPr>
        <w:t>0</w:t>
      </w:r>
      <w:r w:rsidR="001558E8" w:rsidRPr="00BE1024">
        <w:rPr>
          <w:rFonts w:ascii="Tahoma" w:hAnsi="Tahoma" w:cs="Tahoma"/>
          <w:b/>
          <w:sz w:val="21"/>
          <w:szCs w:val="21"/>
          <w:lang w:eastAsia="cs-CZ"/>
        </w:rPr>
        <w:t xml:space="preserve"> dnů </w:t>
      </w:r>
      <w:r w:rsidR="001558E8" w:rsidRPr="00BE1024">
        <w:rPr>
          <w:rFonts w:ascii="Tahoma" w:hAnsi="Tahoma" w:cs="Tahoma"/>
          <w:sz w:val="21"/>
          <w:szCs w:val="21"/>
          <w:lang w:eastAsia="cs-CZ"/>
        </w:rPr>
        <w:t>od předání a převzetí staveniště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2235BB" w:rsidRPr="00BE1024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AC0CB6" w:rsidRPr="00BE1024" w:rsidRDefault="00303988" w:rsidP="00AA2176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 xml:space="preserve">nů od písemné výzvy objednatele. </w:t>
      </w:r>
      <w:r w:rsidR="00AC0CB6" w:rsidRPr="00BE1024">
        <w:rPr>
          <w:rFonts w:ascii="Tahoma" w:hAnsi="Tahoma" w:cs="Tahoma"/>
          <w:sz w:val="21"/>
          <w:szCs w:val="21"/>
        </w:rPr>
        <w:t xml:space="preserve">Pokud zhotovitel nezahájí stavební práce k provedení díla do </w:t>
      </w:r>
      <w:r w:rsidR="001C7C4E" w:rsidRPr="00BE1024">
        <w:rPr>
          <w:rFonts w:ascii="Tahoma" w:hAnsi="Tahoma" w:cs="Tahoma"/>
          <w:sz w:val="21"/>
          <w:szCs w:val="21"/>
        </w:rPr>
        <w:t>1</w:t>
      </w:r>
      <w:r w:rsidR="00AC0CB6" w:rsidRPr="00BE1024">
        <w:rPr>
          <w:rFonts w:ascii="Tahoma" w:hAnsi="Tahoma" w:cs="Tahoma"/>
          <w:sz w:val="21"/>
          <w:szCs w:val="21"/>
        </w:rPr>
        <w:t xml:space="preserve">4 dnů ode dne převzetí staveniště, je objednatel oprávněn odstoupit od smlouvy.  </w:t>
      </w:r>
    </w:p>
    <w:p w:rsidR="00887257" w:rsidRPr="00BE1024" w:rsidRDefault="00AC0CB6" w:rsidP="00AC0CB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981EDD" w:rsidRDefault="007D454A" w:rsidP="00981EDD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81EDD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981EDD">
        <w:rPr>
          <w:rFonts w:ascii="Tahoma" w:hAnsi="Tahoma" w:cs="Tahoma"/>
          <w:sz w:val="21"/>
          <w:szCs w:val="21"/>
          <w:lang w:eastAsia="cs-CZ"/>
        </w:rPr>
        <w:t>.</w:t>
      </w:r>
      <w:r w:rsidRPr="00981EDD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7D454A" w:rsidRPr="00BE1024" w:rsidRDefault="007D454A" w:rsidP="007D454A">
      <w:pPr>
        <w:pStyle w:val="Odstavecseseznamem"/>
        <w:spacing w:after="120" w:line="240" w:lineRule="auto"/>
        <w:ind w:left="924"/>
        <w:jc w:val="both"/>
        <w:rPr>
          <w:rFonts w:ascii="Tahoma" w:hAnsi="Tahoma" w:cs="Tahoma"/>
          <w:sz w:val="21"/>
          <w:szCs w:val="21"/>
        </w:rPr>
      </w:pPr>
    </w:p>
    <w:p w:rsidR="006E4020" w:rsidRPr="00BE1024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DA5228" w:rsidRPr="00DA5228" w:rsidRDefault="00DA5228" w:rsidP="00364460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DA5228">
        <w:rPr>
          <w:rFonts w:ascii="Tahoma" w:hAnsi="Tahoma" w:cs="Tahoma"/>
          <w:sz w:val="21"/>
          <w:szCs w:val="21"/>
        </w:rPr>
        <w:t xml:space="preserve">Místem plnění </w:t>
      </w:r>
      <w:r>
        <w:rPr>
          <w:rFonts w:ascii="Tahoma" w:hAnsi="Tahoma" w:cs="Tahoma"/>
          <w:sz w:val="21"/>
          <w:szCs w:val="21"/>
        </w:rPr>
        <w:t>je</w:t>
      </w:r>
      <w:r w:rsidRPr="00DA5228">
        <w:rPr>
          <w:rFonts w:ascii="Tahoma" w:hAnsi="Tahoma" w:cs="Tahoma"/>
          <w:sz w:val="21"/>
          <w:szCs w:val="21"/>
        </w:rPr>
        <w:t xml:space="preserve"> bytový dům čp.</w:t>
      </w:r>
      <w:r w:rsidR="0048387F">
        <w:rPr>
          <w:rFonts w:ascii="Tahoma" w:hAnsi="Tahoma" w:cs="Tahoma"/>
          <w:sz w:val="21"/>
          <w:szCs w:val="21"/>
        </w:rPr>
        <w:t xml:space="preserve"> </w:t>
      </w:r>
      <w:r w:rsidR="0026196A">
        <w:rPr>
          <w:rFonts w:ascii="Tahoma" w:hAnsi="Tahoma" w:cs="Tahoma"/>
          <w:sz w:val="21"/>
          <w:szCs w:val="21"/>
        </w:rPr>
        <w:t>799</w:t>
      </w:r>
      <w:r w:rsidRPr="00DA5228">
        <w:rPr>
          <w:rFonts w:ascii="Tahoma" w:hAnsi="Tahoma" w:cs="Tahoma"/>
          <w:sz w:val="21"/>
          <w:szCs w:val="21"/>
        </w:rPr>
        <w:t xml:space="preserve"> na ulici </w:t>
      </w:r>
      <w:r w:rsidR="0026196A">
        <w:rPr>
          <w:rFonts w:ascii="Tahoma" w:hAnsi="Tahoma" w:cs="Tahoma"/>
          <w:sz w:val="21"/>
          <w:szCs w:val="21"/>
        </w:rPr>
        <w:t>ČSA a bytový dům čp. 689 na ulici Anenské</w:t>
      </w:r>
      <w:r w:rsidRPr="00DA5228">
        <w:rPr>
          <w:rFonts w:ascii="Tahoma" w:hAnsi="Tahoma" w:cs="Tahoma"/>
          <w:sz w:val="21"/>
          <w:szCs w:val="21"/>
        </w:rPr>
        <w:t>,</w:t>
      </w:r>
      <w:r w:rsidR="0026196A">
        <w:rPr>
          <w:rFonts w:ascii="Tahoma" w:hAnsi="Tahoma" w:cs="Tahoma"/>
          <w:sz w:val="21"/>
          <w:szCs w:val="21"/>
        </w:rPr>
        <w:t xml:space="preserve"> ve</w:t>
      </w:r>
      <w:r w:rsidRPr="00DA5228">
        <w:rPr>
          <w:rFonts w:ascii="Tahoma" w:hAnsi="Tahoma" w:cs="Tahoma"/>
          <w:sz w:val="21"/>
          <w:szCs w:val="21"/>
        </w:rPr>
        <w:t xml:space="preserve"> Frýdk</w:t>
      </w:r>
      <w:r w:rsidR="0026196A">
        <w:rPr>
          <w:rFonts w:ascii="Tahoma" w:hAnsi="Tahoma" w:cs="Tahoma"/>
          <w:sz w:val="21"/>
          <w:szCs w:val="21"/>
        </w:rPr>
        <w:t>u</w:t>
      </w:r>
      <w:r w:rsidRPr="00DA5228">
        <w:rPr>
          <w:rFonts w:ascii="Tahoma" w:hAnsi="Tahoma" w:cs="Tahoma"/>
          <w:sz w:val="21"/>
          <w:szCs w:val="21"/>
        </w:rPr>
        <w:t xml:space="preserve"> – Místk</w:t>
      </w:r>
      <w:r w:rsidR="0026196A">
        <w:rPr>
          <w:rFonts w:ascii="Tahoma" w:hAnsi="Tahoma" w:cs="Tahoma"/>
          <w:sz w:val="21"/>
          <w:szCs w:val="21"/>
        </w:rPr>
        <w:t>u</w:t>
      </w:r>
      <w:r w:rsidRPr="00DA5228">
        <w:rPr>
          <w:rFonts w:ascii="Tahoma" w:hAnsi="Tahoma" w:cs="Tahoma"/>
          <w:sz w:val="21"/>
          <w:szCs w:val="21"/>
        </w:rPr>
        <w:t xml:space="preserve">.   </w:t>
      </w:r>
    </w:p>
    <w:p w:rsidR="000A5396" w:rsidRDefault="000A5396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DA5228" w:rsidRDefault="00DA5228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DA5228" w:rsidRDefault="00DA5228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DA5228" w:rsidRDefault="00DA5228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364460" w:rsidRDefault="00364460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DA5228" w:rsidRPr="005A6346" w:rsidRDefault="00DA5228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AA2176" w:rsidRDefault="00AA217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lastRenderedPageBreak/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E003A6" w:rsidRPr="00BE1024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BE1024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BE1024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2C75AD" w:rsidRPr="00BE1024" w:rsidRDefault="009729AA" w:rsidP="002C75AD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</w:t>
      </w:r>
      <w:r w:rsidR="002C75AD" w:rsidRPr="00BE1024">
        <w:rPr>
          <w:rFonts w:ascii="Tahoma" w:hAnsi="Tahoma" w:cs="Tahoma"/>
          <w:sz w:val="21"/>
          <w:szCs w:val="21"/>
        </w:rPr>
        <w:t>Ing</w:t>
      </w:r>
      <w:r w:rsidRPr="00BE1024">
        <w:rPr>
          <w:rFonts w:ascii="Tahoma" w:hAnsi="Tahoma" w:cs="Tahoma"/>
          <w:sz w:val="21"/>
          <w:szCs w:val="21"/>
        </w:rPr>
        <w:t xml:space="preserve">. </w:t>
      </w:r>
      <w:r w:rsidR="00E27801" w:rsidRPr="00BE1024">
        <w:rPr>
          <w:rFonts w:ascii="Tahoma" w:hAnsi="Tahoma" w:cs="Tahoma"/>
          <w:sz w:val="21"/>
          <w:szCs w:val="21"/>
        </w:rPr>
        <w:t>Dagmar Hor</w:t>
      </w:r>
      <w:r w:rsidR="0026196A">
        <w:rPr>
          <w:rFonts w:ascii="Tahoma" w:hAnsi="Tahoma" w:cs="Tahoma"/>
          <w:sz w:val="21"/>
          <w:szCs w:val="21"/>
        </w:rPr>
        <w:t>ut</w:t>
      </w:r>
      <w:r w:rsidR="00E27801" w:rsidRPr="00BE1024">
        <w:rPr>
          <w:rFonts w:ascii="Tahoma" w:hAnsi="Tahoma" w:cs="Tahoma"/>
          <w:sz w:val="21"/>
          <w:szCs w:val="21"/>
        </w:rPr>
        <w:t>ová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technik</w:t>
      </w:r>
      <w:r w:rsidR="002C75AD" w:rsidRPr="00BE1024">
        <w:rPr>
          <w:rFonts w:ascii="Tahoma" w:hAnsi="Tahoma" w:cs="Tahoma"/>
          <w:sz w:val="21"/>
          <w:szCs w:val="21"/>
        </w:rPr>
        <w:t xml:space="preserve"> oddělení správy budov</w:t>
      </w:r>
      <w:r w:rsidR="00E27801" w:rsidRPr="00BE1024">
        <w:rPr>
          <w:rFonts w:ascii="Tahoma" w:hAnsi="Tahoma" w:cs="Tahoma"/>
          <w:sz w:val="21"/>
          <w:szCs w:val="21"/>
        </w:rPr>
        <w:t xml:space="preserve"> </w:t>
      </w:r>
      <w:r w:rsidR="002C75AD" w:rsidRPr="00BE1024">
        <w:rPr>
          <w:rFonts w:ascii="Tahoma" w:hAnsi="Tahoma" w:cs="Tahoma"/>
          <w:sz w:val="21"/>
          <w:szCs w:val="21"/>
        </w:rPr>
        <w:t>OSOM</w:t>
      </w:r>
    </w:p>
    <w:p w:rsidR="002C75AD" w:rsidRPr="00BE1024" w:rsidRDefault="002C75AD" w:rsidP="002C75AD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26196A">
        <w:rPr>
          <w:rFonts w:ascii="Tahoma" w:hAnsi="Tahoma" w:cs="Tahoma"/>
          <w:sz w:val="21"/>
          <w:szCs w:val="21"/>
        </w:rPr>
        <w:t>185</w:t>
      </w:r>
      <w:r w:rsidRPr="00BE1024">
        <w:rPr>
          <w:rFonts w:ascii="Tahoma" w:hAnsi="Tahoma" w:cs="Tahoma"/>
          <w:sz w:val="21"/>
          <w:szCs w:val="21"/>
        </w:rPr>
        <w:t xml:space="preserve">/ email: </w:t>
      </w:r>
      <w:hyperlink r:id="rId9" w:history="1"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hor</w:t>
        </w:r>
        <w:r w:rsidR="0026196A">
          <w:rPr>
            <w:rStyle w:val="Hypertextovodkaz"/>
            <w:rFonts w:ascii="Tahoma" w:hAnsi="Tahoma" w:cs="Tahoma"/>
            <w:sz w:val="21"/>
            <w:szCs w:val="21"/>
          </w:rPr>
          <w:t>ut</w:t>
        </w:r>
        <w:bookmarkStart w:id="1" w:name="_GoBack"/>
        <w:bookmarkEnd w:id="1"/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ova.dagmar@frydekmistek.cz</w:t>
        </w:r>
      </w:hyperlink>
    </w:p>
    <w:p w:rsidR="007B2C6A" w:rsidRPr="00BE1024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DA19E7" w:rsidRDefault="00DA19E7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Autorský dozor projektanta</w:t>
      </w: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Autorský dozor projektanta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bude vykonávat zpracovatel projektové dokumentace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 xml:space="preserve">, která je podkladem pro provádění díla dle této smlouvy.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výkon autorského dozoru projektanta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90602E" w:rsidRPr="00BE1024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autorskému dozoru zejména: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 w:rsidR="0084194A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PD,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541280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provádění zápisů 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do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změnových listů,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887257" w:rsidRPr="00BE1024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Koordinátor BOZP</w:t>
      </w: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koordinátorovi BOZP zejména: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předpisy na ochranu zdraví a bezpečnosti účastníků výstavby,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kontrolních dnů pořádaných koordinátorem BOZP,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rizik.</w:t>
      </w:r>
    </w:p>
    <w:p w:rsidR="00887257" w:rsidRPr="00BE1024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BE1024" w:rsidRDefault="00887257" w:rsidP="00887257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s výzvou ke sjednání nápravy; v případě nesjednání nápravy je 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oprávněn koordinátor zastavit práce.</w:t>
      </w:r>
    </w:p>
    <w:p w:rsidR="00FA629E" w:rsidRDefault="00FA629E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796EFA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D136DA" w:rsidRPr="00BE1024" w:rsidRDefault="00D136DA" w:rsidP="00D136D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136DA" w:rsidRPr="00BE1024" w:rsidRDefault="00AA2176" w:rsidP="00D136DA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lastRenderedPageBreak/>
        <w:t>Bytov</w:t>
      </w:r>
      <w:r w:rsidR="00A97EE6">
        <w:rPr>
          <w:rFonts w:ascii="Tahoma" w:hAnsi="Tahoma" w:cs="Tahoma"/>
          <w:b/>
          <w:sz w:val="21"/>
          <w:szCs w:val="21"/>
          <w:lang w:eastAsia="cs-CZ"/>
        </w:rPr>
        <w:t>á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 jednotk</w:t>
      </w:r>
      <w:r w:rsidR="00A97EE6">
        <w:rPr>
          <w:rFonts w:ascii="Tahoma" w:hAnsi="Tahoma" w:cs="Tahoma"/>
          <w:b/>
          <w:sz w:val="21"/>
          <w:szCs w:val="21"/>
          <w:lang w:eastAsia="cs-CZ"/>
        </w:rPr>
        <w:t>a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 j</w:t>
      </w:r>
      <w:r w:rsidR="00A97EE6">
        <w:rPr>
          <w:rFonts w:ascii="Tahoma" w:hAnsi="Tahoma" w:cs="Tahoma"/>
          <w:b/>
          <w:sz w:val="21"/>
          <w:szCs w:val="21"/>
          <w:lang w:eastAsia="cs-CZ"/>
        </w:rPr>
        <w:t>e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 voln</w:t>
      </w:r>
      <w:r w:rsidR="00A97EE6">
        <w:rPr>
          <w:rFonts w:ascii="Tahoma" w:hAnsi="Tahoma" w:cs="Tahoma"/>
          <w:b/>
          <w:sz w:val="21"/>
          <w:szCs w:val="21"/>
          <w:lang w:eastAsia="cs-CZ"/>
        </w:rPr>
        <w:t>á</w:t>
      </w:r>
      <w:r w:rsidR="00D136DA" w:rsidRPr="00BE1024">
        <w:rPr>
          <w:rFonts w:ascii="Tahoma" w:hAnsi="Tahoma" w:cs="Tahoma"/>
          <w:b/>
          <w:sz w:val="21"/>
          <w:szCs w:val="21"/>
          <w:lang w:eastAsia="cs-CZ"/>
        </w:rPr>
        <w:t>, vzhledem ke skutečnosti, že se jedná o bytový dům, mohou být hlučné práce (bourací práce apod.) prováděny pouze v pracovních dnech od 8 do 16 hodin.</w:t>
      </w: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E577D8" w:rsidRPr="003D2128" w:rsidRDefault="00E577D8" w:rsidP="003D2128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3D2128">
        <w:rPr>
          <w:rFonts w:ascii="Tahoma" w:hAnsi="Tahoma" w:cs="Tahoma"/>
          <w:sz w:val="21"/>
          <w:szCs w:val="21"/>
        </w:rPr>
        <w:t xml:space="preserve">Zhotovitel je povinen ode dne převzetí staveniště vést stavební deník v souladu se zákonem </w:t>
      </w:r>
      <w:r w:rsidR="003D2128" w:rsidRPr="003D2128">
        <w:rPr>
          <w:rFonts w:ascii="Tahoma" w:hAnsi="Tahoma" w:cs="Tahoma"/>
          <w:sz w:val="21"/>
          <w:szCs w:val="21"/>
        </w:rPr>
        <w:t>č. 283/2021 Sb., stavební zákon, ve znění pozdějších předpisů, vyhláškou č. 131/2024 Sb., o dokumentaci staveb, v platném znění, vyhláškou č. 268/2009 Sb., o technických požadavcích na stavby</w:t>
      </w:r>
      <w:r w:rsidR="003D2128">
        <w:rPr>
          <w:rFonts w:ascii="Tahoma" w:hAnsi="Tahoma" w:cs="Tahoma"/>
          <w:sz w:val="21"/>
          <w:szCs w:val="21"/>
        </w:rPr>
        <w:t>.</w:t>
      </w:r>
      <w:r w:rsidR="003D2128" w:rsidRPr="003D2128">
        <w:rPr>
          <w:rFonts w:ascii="Tahoma" w:hAnsi="Tahoma" w:cs="Tahoma"/>
          <w:sz w:val="21"/>
          <w:szCs w:val="21"/>
        </w:rPr>
        <w:t xml:space="preserve"> </w:t>
      </w:r>
      <w:r w:rsidRPr="003D2128">
        <w:rPr>
          <w:rFonts w:ascii="Tahoma" w:hAnsi="Tahoma" w:cs="Tahoma"/>
          <w:sz w:val="21"/>
          <w:szCs w:val="21"/>
        </w:rPr>
        <w:t>Deník bude trvale přístupný na stavbě.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Pr="00BE1024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8079" w:type="dxa"/>
        <w:tblInd w:w="1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559"/>
        <w:gridCol w:w="1984"/>
      </w:tblGrid>
      <w:tr w:rsidR="00F17CF4" w:rsidRPr="00BE1024" w:rsidTr="006F32AD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1</w:t>
            </w:r>
            <w:r w:rsidR="00E46C79">
              <w:rPr>
                <w:rFonts w:ascii="Tahoma" w:eastAsiaTheme="minorEastAsia" w:hAnsi="Tahoma" w:cs="Tahoma"/>
                <w:bCs/>
                <w:sz w:val="21"/>
                <w:szCs w:val="21"/>
              </w:rPr>
              <w:t>2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BE1024" w:rsidTr="006F32AD">
        <w:trPr>
          <w:trHeight w:val="450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cena je doložena zhotovitelem oceněným soupisem prací (výkazem výměr) dle přílohy č.</w:t>
      </w:r>
      <w:r w:rsidR="00282D1C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BE1024">
        <w:rPr>
          <w:rFonts w:ascii="Tahoma" w:hAnsi="Tahoma" w:cs="Tahoma"/>
          <w:sz w:val="21"/>
          <w:szCs w:val="21"/>
          <w:lang w:eastAsia="cs-CZ"/>
        </w:rPr>
        <w:t>1 smlouvy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5D4E01" w:rsidRPr="00BE1024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A5228" w:rsidRDefault="00DA5228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46C79" w:rsidRPr="00CA2851" w:rsidRDefault="00E46C79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CA2851">
        <w:rPr>
          <w:rFonts w:ascii="Tahoma" w:hAnsi="Tahoma" w:cs="Tahoma"/>
          <w:sz w:val="21"/>
          <w:szCs w:val="21"/>
        </w:rPr>
        <w:t>Objednatel (město) je při realizaci díla dle této smlouvy osobou povinnou k dani a v případě, že se jedná o stavební či montážní práce spadající do katalogu prací CZ-CPA 41-43, je nutné aplikovat §92</w:t>
      </w:r>
      <w:r w:rsidR="00925D2D">
        <w:rPr>
          <w:rFonts w:ascii="Tahoma" w:hAnsi="Tahoma" w:cs="Tahoma"/>
          <w:sz w:val="21"/>
          <w:szCs w:val="21"/>
        </w:rPr>
        <w:t>a</w:t>
      </w:r>
      <w:r w:rsidRPr="00CA2851">
        <w:rPr>
          <w:rFonts w:ascii="Tahoma" w:hAnsi="Tahoma" w:cs="Tahoma"/>
          <w:sz w:val="21"/>
          <w:szCs w:val="21"/>
        </w:rPr>
        <w:t xml:space="preserve"> odst. 1 zákona o DPH, tzn. režim přenesené daňové povinnosti.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A97EE6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Smluvní strany sjednávají </w:t>
      </w:r>
      <w:r>
        <w:rPr>
          <w:rFonts w:ascii="Tahoma" w:hAnsi="Tahoma" w:cs="Tahoma"/>
          <w:sz w:val="21"/>
          <w:szCs w:val="21"/>
        </w:rPr>
        <w:t>jednorázovou</w:t>
      </w:r>
      <w:r w:rsidRPr="00394582">
        <w:rPr>
          <w:rFonts w:ascii="Tahoma" w:hAnsi="Tahoma" w:cs="Tahoma"/>
          <w:sz w:val="21"/>
          <w:szCs w:val="21"/>
        </w:rPr>
        <w:t xml:space="preserve"> fakturaci</w:t>
      </w:r>
      <w:r w:rsidR="0048387F">
        <w:rPr>
          <w:rFonts w:ascii="Tahoma" w:hAnsi="Tahoma" w:cs="Tahoma"/>
          <w:sz w:val="21"/>
          <w:szCs w:val="21"/>
        </w:rPr>
        <w:t xml:space="preserve"> za každou bytovou jednotku</w:t>
      </w:r>
      <w:r w:rsidRPr="00394582">
        <w:rPr>
          <w:rFonts w:ascii="Tahoma" w:hAnsi="Tahoma" w:cs="Tahoma"/>
          <w:sz w:val="21"/>
          <w:szCs w:val="21"/>
        </w:rPr>
        <w:t>. Podkladem pro úhradu ceny za dílo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faktur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>, kter</w:t>
      </w:r>
      <w:r>
        <w:rPr>
          <w:rFonts w:ascii="Tahoma" w:hAnsi="Tahoma" w:cs="Tahoma"/>
          <w:sz w:val="21"/>
          <w:szCs w:val="21"/>
        </w:rPr>
        <w:t>á</w:t>
      </w:r>
      <w:r w:rsidRPr="00394582">
        <w:rPr>
          <w:rFonts w:ascii="Tahoma" w:hAnsi="Tahoma" w:cs="Tahoma"/>
          <w:sz w:val="21"/>
          <w:szCs w:val="21"/>
        </w:rPr>
        <w:t xml:space="preserve">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Pr="00394582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394582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</w:t>
      </w:r>
      <w:r w:rsidR="00D6621D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dle níže uvedených ujednání. Zjišťovací protokol bude součástí faktury. </w:t>
      </w:r>
    </w:p>
    <w:p w:rsidR="0048387F" w:rsidRPr="00394582" w:rsidRDefault="0048387F" w:rsidP="0048387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</w:t>
      </w:r>
      <w:r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jména 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podpisy předávajícího a přebírajícího s daty předání a převzetí provedených stavebních prací. Součástí zjišťovacího protokolu bude: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soupis provedených prací </w:t>
      </w:r>
      <w:r w:rsidRPr="00394582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A97EE6" w:rsidRPr="00394582" w:rsidRDefault="00A97EE6" w:rsidP="00A97EE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soubor bude ve formátu.xls.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A97EE6" w:rsidRPr="00394582" w:rsidRDefault="00A97EE6" w:rsidP="00A97EE6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Faktury (samostatná zdanitelná plnění) budou zhotovitelem vystavovány do výše 90 % ceny díla dle této smlouvy. Vystavená faktura bude uhrazena do výše 90 % fakturované částky bez DPH + 100 % DPH, zbývajících 10 % fakturované částky bez DPH bude drženo objednatelem jako pozastávka do doby řádného dokončení a předání díla bez vad a nedodělků.</w:t>
      </w: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A97EE6" w:rsidRPr="00394582" w:rsidRDefault="00A97EE6" w:rsidP="00A97EE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Pokud bude dílo převzato bez vad a nedodělků, které nebrání užívání díla, bude </w:t>
      </w:r>
      <w:r>
        <w:rPr>
          <w:rFonts w:ascii="Tahoma" w:hAnsi="Tahoma" w:cs="Tahoma"/>
          <w:sz w:val="21"/>
          <w:szCs w:val="21"/>
        </w:rPr>
        <w:t>zhotoviteli</w:t>
      </w:r>
      <w:r w:rsidRPr="00394582">
        <w:rPr>
          <w:rFonts w:ascii="Tahoma" w:hAnsi="Tahoma" w:cs="Tahoma"/>
          <w:sz w:val="21"/>
          <w:szCs w:val="21"/>
        </w:rPr>
        <w:t xml:space="preserve"> zaplacena konečná faktura včetně jednotlivých pozastávek.</w:t>
      </w:r>
    </w:p>
    <w:p w:rsidR="00640009" w:rsidRPr="00BE1024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DA5228" w:rsidRDefault="00DA5228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DA5228" w:rsidRDefault="00DA5228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, jehož vzor je uveden v</w:t>
      </w:r>
      <w:r w:rsidR="005A2EE0" w:rsidRPr="00BE1024">
        <w:rPr>
          <w:rFonts w:ascii="Tahoma" w:hAnsi="Tahoma" w:cs="Tahoma"/>
          <w:sz w:val="21"/>
          <w:szCs w:val="21"/>
        </w:rPr>
        <w:t> </w:t>
      </w:r>
      <w:r w:rsidRPr="00BE1024">
        <w:rPr>
          <w:rFonts w:ascii="Tahoma" w:hAnsi="Tahoma" w:cs="Tahoma"/>
          <w:sz w:val="21"/>
          <w:szCs w:val="21"/>
        </w:rPr>
        <w:t>příloze</w:t>
      </w:r>
      <w:r w:rsidR="005A2EE0" w:rsidRPr="00BE1024">
        <w:rPr>
          <w:rFonts w:ascii="Tahoma" w:hAnsi="Tahoma" w:cs="Tahoma"/>
          <w:sz w:val="21"/>
          <w:szCs w:val="21"/>
        </w:rPr>
        <w:t xml:space="preserve"> této </w:t>
      </w:r>
      <w:r w:rsidRPr="00BE1024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Pr="00BE1024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BE1024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zápisy a osvědčení o provedených zkouškách zabudovaných materiálů,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Zápis 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</w:t>
      </w:r>
      <w:r w:rsidR="005A2EE0" w:rsidRPr="00BE1024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BE1024">
        <w:rPr>
          <w:rFonts w:ascii="Tahoma" w:hAnsi="Tahoma" w:cs="Tahoma"/>
          <w:sz w:val="21"/>
          <w:szCs w:val="21"/>
        </w:rPr>
        <w:t>obsahovat: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smluvních stran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BE1024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BE1024">
        <w:rPr>
          <w:rFonts w:ascii="Tahoma" w:hAnsi="Tahoma" w:cs="Tahoma"/>
          <w:sz w:val="21"/>
          <w:szCs w:val="21"/>
        </w:rPr>
        <w:t xml:space="preserve">k </w:t>
      </w:r>
      <w:r w:rsidRPr="00BE1024">
        <w:rPr>
          <w:rFonts w:ascii="Tahoma" w:hAnsi="Tahoma" w:cs="Tahoma"/>
          <w:sz w:val="21"/>
          <w:szCs w:val="21"/>
        </w:rPr>
        <w:t xml:space="preserve">odstranění, která činí </w:t>
      </w:r>
      <w:r w:rsidRPr="00BE1024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BE1024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BE1024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BE1024">
        <w:rPr>
          <w:rFonts w:ascii="Tahoma" w:hAnsi="Tahoma" w:cs="Tahoma"/>
          <w:sz w:val="21"/>
          <w:szCs w:val="21"/>
          <w:lang w:eastAsia="cs-CZ"/>
        </w:rPr>
        <w:t>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BE1024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25771" w:rsidRPr="00BE1024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A25027" w:rsidRPr="00BE1024">
        <w:rPr>
          <w:rFonts w:ascii="Tahoma" w:hAnsi="Tahoma" w:cs="Tahoma"/>
          <w:sz w:val="21"/>
          <w:szCs w:val="21"/>
          <w:lang w:eastAsia="cs-CZ"/>
        </w:rPr>
        <w:t>-----</w:t>
      </w:r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DA5228" w:rsidRPr="00BE1024" w:rsidRDefault="00DA5228" w:rsidP="00DA5228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E0016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56CFD" w:rsidRPr="006B0B13" w:rsidRDefault="00F817F7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</w:t>
      </w:r>
      <w:r w:rsidR="004D1A6C">
        <w:rPr>
          <w:rFonts w:ascii="Tahoma" w:hAnsi="Tahoma" w:cs="Tahoma"/>
          <w:sz w:val="21"/>
          <w:szCs w:val="21"/>
          <w:lang w:eastAsia="zh-CN"/>
        </w:rPr>
        <w:t xml:space="preserve"> je zhotovitel povinen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strpět kontrolu od kontrolních orgánů, které jsou oprávněny si vyžádat ke kontrole kompletní dokumentaci o zadání, realizaci a fakturaci veřejné zakázky</w:t>
      </w:r>
      <w:r w:rsidR="00695D12">
        <w:rPr>
          <w:rFonts w:ascii="Tahoma" w:hAnsi="Tahoma" w:cs="Tahoma"/>
          <w:sz w:val="21"/>
          <w:szCs w:val="21"/>
          <w:lang w:eastAsia="zh-CN"/>
        </w:rPr>
        <w:t xml:space="preserve">;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lastRenderedPageBreak/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DE14F8" w:rsidRPr="00BE1024" w:rsidRDefault="00DE14F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Tato smlouva o dílo je </w:t>
      </w:r>
      <w:r w:rsidR="00693958" w:rsidRPr="00BE1024">
        <w:rPr>
          <w:rFonts w:ascii="Tahoma" w:hAnsi="Tahoma" w:cs="Tahoma"/>
          <w:sz w:val="21"/>
          <w:szCs w:val="21"/>
          <w:lang w:eastAsia="zh-CN"/>
        </w:rPr>
        <w:t>uz</w:t>
      </w:r>
      <w:r w:rsidR="00BC75F5" w:rsidRPr="00BE1024">
        <w:rPr>
          <w:rFonts w:ascii="Tahoma" w:hAnsi="Tahoma" w:cs="Tahoma"/>
          <w:sz w:val="21"/>
          <w:szCs w:val="21"/>
          <w:lang w:eastAsia="zh-CN"/>
        </w:rPr>
        <w:t xml:space="preserve">avřena na základě rozhodnutí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</w:t>
      </w:r>
      <w:r w:rsidR="00697B47" w:rsidRPr="00BE1024">
        <w:rPr>
          <w:rFonts w:ascii="Tahoma" w:hAnsi="Tahoma" w:cs="Tahoma"/>
          <w:sz w:val="21"/>
          <w:szCs w:val="21"/>
          <w:lang w:eastAsia="zh-CN"/>
        </w:rPr>
        <w:t xml:space="preserve">.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schůze Rady města Frýdku-Místku 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br/>
      </w:r>
      <w:r w:rsidRPr="00BE1024">
        <w:rPr>
          <w:rFonts w:ascii="Tahoma" w:hAnsi="Tahoma" w:cs="Tahoma"/>
          <w:sz w:val="21"/>
          <w:szCs w:val="21"/>
          <w:lang w:eastAsia="zh-CN"/>
        </w:rPr>
        <w:t>ze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dne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……</w:t>
      </w:r>
      <w:r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E609BC" w:rsidRPr="00BE1024" w:rsidRDefault="00E609BC" w:rsidP="00E609BC">
      <w:pPr>
        <w:pStyle w:val="Odstavecseseznamem"/>
        <w:rPr>
          <w:rFonts w:ascii="Tahoma" w:hAnsi="Tahoma" w:cs="Tahoma"/>
          <w:sz w:val="21"/>
          <w:szCs w:val="21"/>
        </w:rPr>
      </w:pPr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0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9715A" w:rsidRPr="00BE1024" w:rsidRDefault="0082331E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Příloh</w:t>
      </w:r>
      <w:r w:rsidR="0059715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smlouvy</w:t>
      </w:r>
      <w:r w:rsidR="0059715A" w:rsidRPr="00BE1024">
        <w:rPr>
          <w:rFonts w:ascii="Tahoma" w:hAnsi="Tahoma" w:cs="Tahoma"/>
          <w:sz w:val="21"/>
          <w:szCs w:val="21"/>
        </w:rPr>
        <w:t>:</w:t>
      </w:r>
    </w:p>
    <w:p w:rsidR="00BF02A0" w:rsidRPr="00BE1024" w:rsidRDefault="00BF02A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Pr="00BE1024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</w:t>
      </w:r>
      <w:r w:rsidR="0059715A" w:rsidRPr="00BE1024">
        <w:rPr>
          <w:rFonts w:ascii="Tahoma" w:hAnsi="Tahoma" w:cs="Tahoma"/>
          <w:sz w:val="21"/>
          <w:szCs w:val="21"/>
        </w:rPr>
        <w:t>říloha č.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8817BF" w:rsidRPr="00BE1024">
        <w:rPr>
          <w:rFonts w:ascii="Tahoma" w:hAnsi="Tahoma" w:cs="Tahoma"/>
          <w:sz w:val="21"/>
          <w:szCs w:val="21"/>
        </w:rPr>
        <w:t xml:space="preserve">1- </w:t>
      </w:r>
      <w:r w:rsidR="007F1469" w:rsidRPr="00BE1024">
        <w:rPr>
          <w:rFonts w:ascii="Tahoma" w:hAnsi="Tahoma" w:cs="Tahoma"/>
          <w:sz w:val="21"/>
          <w:szCs w:val="21"/>
        </w:rPr>
        <w:t xml:space="preserve">oceněný </w:t>
      </w:r>
      <w:r w:rsidRPr="00BE1024">
        <w:rPr>
          <w:rFonts w:ascii="Tahoma" w:hAnsi="Tahoma" w:cs="Tahoma"/>
          <w:sz w:val="21"/>
          <w:szCs w:val="21"/>
        </w:rPr>
        <w:t>s</w:t>
      </w:r>
      <w:r w:rsidR="0059715A" w:rsidRPr="00BE1024">
        <w:rPr>
          <w:rFonts w:ascii="Tahoma" w:hAnsi="Tahoma" w:cs="Tahoma"/>
          <w:sz w:val="21"/>
          <w:szCs w:val="21"/>
        </w:rPr>
        <w:t>o</w:t>
      </w:r>
      <w:r w:rsidR="0082331E" w:rsidRPr="00BE1024">
        <w:rPr>
          <w:rFonts w:ascii="Tahoma" w:hAnsi="Tahoma" w:cs="Tahoma"/>
          <w:sz w:val="21"/>
          <w:szCs w:val="21"/>
        </w:rPr>
        <w:t>upis prací</w:t>
      </w:r>
      <w:r w:rsidR="007F1469" w:rsidRPr="00BE1024">
        <w:rPr>
          <w:rFonts w:ascii="Tahoma" w:hAnsi="Tahoma" w:cs="Tahoma"/>
          <w:sz w:val="21"/>
          <w:szCs w:val="21"/>
        </w:rPr>
        <w:t>, dodávek a služeb</w:t>
      </w:r>
      <w:r w:rsidR="0082331E" w:rsidRPr="00BE1024">
        <w:rPr>
          <w:rFonts w:ascii="Tahoma" w:hAnsi="Tahoma" w:cs="Tahoma"/>
          <w:sz w:val="21"/>
          <w:szCs w:val="21"/>
        </w:rPr>
        <w:t xml:space="preserve"> s výkazem výměr</w:t>
      </w: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EA69A6" w:rsidRDefault="00EA69A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DA5228" w:rsidRDefault="00DA522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A5228" w:rsidRPr="00DA5228" w:rsidRDefault="00DA5228" w:rsidP="00DA5228"/>
    <w:p w:rsidR="00DE14F8" w:rsidRPr="00BE1024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lastRenderedPageBreak/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………………, dne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DA19E7" w:rsidRDefault="00DA19E7" w:rsidP="00E16D16">
      <w:pPr>
        <w:rPr>
          <w:rFonts w:ascii="Tahoma" w:hAnsi="Tahoma" w:cs="Tahoma"/>
          <w:sz w:val="21"/>
          <w:szCs w:val="21"/>
        </w:rPr>
      </w:pPr>
    </w:p>
    <w:p w:rsidR="00DA19E7" w:rsidRDefault="00DA19E7" w:rsidP="00E16D16">
      <w:pPr>
        <w:rPr>
          <w:rFonts w:ascii="Tahoma" w:hAnsi="Tahoma" w:cs="Tahoma"/>
          <w:sz w:val="21"/>
          <w:szCs w:val="21"/>
        </w:rPr>
      </w:pPr>
    </w:p>
    <w:p w:rsidR="00DA19E7" w:rsidRDefault="00DA19E7" w:rsidP="00E16D16">
      <w:pPr>
        <w:rPr>
          <w:rFonts w:ascii="Tahoma" w:hAnsi="Tahoma" w:cs="Tahoma"/>
          <w:sz w:val="21"/>
          <w:szCs w:val="21"/>
        </w:rPr>
      </w:pPr>
    </w:p>
    <w:p w:rsidR="00620E1B" w:rsidRPr="00BE1024" w:rsidRDefault="00620E1B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Petr </w:t>
      </w:r>
      <w:proofErr w:type="spellStart"/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Korč</w:t>
      </w:r>
      <w:proofErr w:type="spellEnd"/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BE1024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p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rimátor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4A3321">
      <w:headerReference w:type="default" r:id="rId11"/>
      <w:footerReference w:type="default" r:id="rId12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4CC" w:rsidRDefault="005514CC" w:rsidP="007B6CB8">
      <w:pPr>
        <w:spacing w:after="0" w:line="240" w:lineRule="auto"/>
      </w:pPr>
      <w:r>
        <w:separator/>
      </w:r>
    </w:p>
  </w:endnote>
  <w:endnote w:type="continuationSeparator" w:id="0">
    <w:p w:rsidR="005514CC" w:rsidRDefault="005514CC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Pr="00FF2D32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AA2176" w:rsidRPr="00D92E8E" w:rsidRDefault="00AA2176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4CC" w:rsidRDefault="005514CC" w:rsidP="007B6CB8">
      <w:pPr>
        <w:spacing w:after="0" w:line="240" w:lineRule="auto"/>
      </w:pPr>
      <w:r>
        <w:separator/>
      </w:r>
    </w:p>
  </w:footnote>
  <w:footnote w:type="continuationSeparator" w:id="0">
    <w:p w:rsidR="005514CC" w:rsidRDefault="005514CC" w:rsidP="007B6CB8">
      <w:pPr>
        <w:spacing w:after="0" w:line="240" w:lineRule="auto"/>
      </w:pPr>
      <w:r>
        <w:continuationSeparator/>
      </w:r>
    </w:p>
  </w:footnote>
  <w:footnote w:id="1">
    <w:p w:rsidR="00AA2176" w:rsidRPr="00C81774" w:rsidRDefault="00AA2176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Default="00AA217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694298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V000000</w:t>
    </w:r>
    <w:r w:rsidR="0026196A">
      <w:rPr>
        <w:rFonts w:ascii="Arial" w:hAnsi="Arial" w:cs="Arial"/>
        <w:bCs/>
        <w:i/>
        <w:sz w:val="16"/>
        <w:szCs w:val="16"/>
        <w:lang w:eastAsia="en-US"/>
      </w:rPr>
      <w:t>83</w:t>
    </w:r>
  </w:p>
  <w:p w:rsidR="00AA2176" w:rsidRDefault="0026196A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bookmarkStart w:id="2" w:name="_Hlk193264686"/>
    <w:r w:rsidRPr="0026196A">
      <w:rPr>
        <w:rFonts w:ascii="Arial" w:hAnsi="Arial" w:cs="Arial"/>
        <w:bCs/>
        <w:i/>
        <w:sz w:val="16"/>
        <w:szCs w:val="16"/>
        <w:lang w:eastAsia="en-US"/>
      </w:rPr>
      <w:t xml:space="preserve">Rekonstrukce 2 bytových jednotek 3+1, na ul. ČSA 799 a ul. Anenská 689, ve Frýdku-Místku </w:t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</w:t>
    </w:r>
    <w:bookmarkEnd w:id="2"/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</w:t>
    </w:r>
    <w:r w:rsidR="00AA2176"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19FFE5C3" wp14:editId="19DBCD05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 w:rsidR="00AA2176">
      <w:rPr>
        <w:rFonts w:ascii="Arial" w:hAnsi="Arial" w:cs="Arial"/>
        <w:bCs/>
        <w:i/>
        <w:noProof/>
        <w:sz w:val="16"/>
        <w:szCs w:val="16"/>
      </w:rPr>
      <w:t xml:space="preserve"> </w:t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37B66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2F8A"/>
    <w:multiLevelType w:val="hybridMultilevel"/>
    <w:tmpl w:val="227670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3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3"/>
  </w:num>
  <w:num w:numId="5">
    <w:abstractNumId w:val="29"/>
  </w:num>
  <w:num w:numId="6">
    <w:abstractNumId w:val="13"/>
  </w:num>
  <w:num w:numId="7">
    <w:abstractNumId w:val="33"/>
  </w:num>
  <w:num w:numId="8">
    <w:abstractNumId w:val="14"/>
  </w:num>
  <w:num w:numId="9">
    <w:abstractNumId w:val="37"/>
  </w:num>
  <w:num w:numId="10">
    <w:abstractNumId w:val="25"/>
  </w:num>
  <w:num w:numId="11">
    <w:abstractNumId w:val="6"/>
  </w:num>
  <w:num w:numId="12">
    <w:abstractNumId w:val="36"/>
  </w:num>
  <w:num w:numId="13">
    <w:abstractNumId w:val="35"/>
  </w:num>
  <w:num w:numId="14">
    <w:abstractNumId w:val="11"/>
  </w:num>
  <w:num w:numId="15">
    <w:abstractNumId w:val="1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8"/>
  </w:num>
  <w:num w:numId="19">
    <w:abstractNumId w:val="38"/>
  </w:num>
  <w:num w:numId="20">
    <w:abstractNumId w:val="1"/>
  </w:num>
  <w:num w:numId="21">
    <w:abstractNumId w:val="26"/>
  </w:num>
  <w:num w:numId="22">
    <w:abstractNumId w:val="30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31"/>
  </w:num>
  <w:num w:numId="34">
    <w:abstractNumId w:val="34"/>
  </w:num>
  <w:num w:numId="35">
    <w:abstractNumId w:val="20"/>
  </w:num>
  <w:num w:numId="36">
    <w:abstractNumId w:val="40"/>
  </w:num>
  <w:num w:numId="37">
    <w:abstractNumId w:val="22"/>
  </w:num>
  <w:num w:numId="3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87BC7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3493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604B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06D1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196A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878FC"/>
    <w:rsid w:val="00290EEB"/>
    <w:rsid w:val="002917D7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5AD"/>
    <w:rsid w:val="002C7A54"/>
    <w:rsid w:val="002D1446"/>
    <w:rsid w:val="002D2125"/>
    <w:rsid w:val="002D21C8"/>
    <w:rsid w:val="002D3E26"/>
    <w:rsid w:val="002D3E3F"/>
    <w:rsid w:val="002D462D"/>
    <w:rsid w:val="002D506E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64460"/>
    <w:rsid w:val="00367FF9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0B89"/>
    <w:rsid w:val="003B42DD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2128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8061A"/>
    <w:rsid w:val="0048387F"/>
    <w:rsid w:val="00486B6E"/>
    <w:rsid w:val="00497EB2"/>
    <w:rsid w:val="004A0593"/>
    <w:rsid w:val="004A3321"/>
    <w:rsid w:val="004A50DC"/>
    <w:rsid w:val="004B133C"/>
    <w:rsid w:val="004B1B92"/>
    <w:rsid w:val="004B20C1"/>
    <w:rsid w:val="004B2FB9"/>
    <w:rsid w:val="004B3304"/>
    <w:rsid w:val="004B3571"/>
    <w:rsid w:val="004B4BED"/>
    <w:rsid w:val="004B4C6B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1A6C"/>
    <w:rsid w:val="004D285A"/>
    <w:rsid w:val="004D3AEA"/>
    <w:rsid w:val="004E1C8D"/>
    <w:rsid w:val="004E2776"/>
    <w:rsid w:val="004E7BB7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35E0E"/>
    <w:rsid w:val="00540816"/>
    <w:rsid w:val="00541280"/>
    <w:rsid w:val="00541F80"/>
    <w:rsid w:val="0054242A"/>
    <w:rsid w:val="00542DB8"/>
    <w:rsid w:val="00543266"/>
    <w:rsid w:val="00544959"/>
    <w:rsid w:val="005454F6"/>
    <w:rsid w:val="005514CC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634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29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32AD"/>
    <w:rsid w:val="006F44D2"/>
    <w:rsid w:val="006F6C91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33C3"/>
    <w:rsid w:val="00793737"/>
    <w:rsid w:val="00795BE4"/>
    <w:rsid w:val="0079673B"/>
    <w:rsid w:val="00796EFA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18D"/>
    <w:rsid w:val="007C4F94"/>
    <w:rsid w:val="007C6BDF"/>
    <w:rsid w:val="007C6D44"/>
    <w:rsid w:val="007D2CE2"/>
    <w:rsid w:val="007D454A"/>
    <w:rsid w:val="007D6094"/>
    <w:rsid w:val="007D75E4"/>
    <w:rsid w:val="007E365D"/>
    <w:rsid w:val="007E41F5"/>
    <w:rsid w:val="007E5BC7"/>
    <w:rsid w:val="007E5F96"/>
    <w:rsid w:val="007F0694"/>
    <w:rsid w:val="007F1469"/>
    <w:rsid w:val="007F4069"/>
    <w:rsid w:val="007F6818"/>
    <w:rsid w:val="00802CE2"/>
    <w:rsid w:val="008034D4"/>
    <w:rsid w:val="0080441D"/>
    <w:rsid w:val="00804712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DDA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5969"/>
    <w:rsid w:val="008A76DD"/>
    <w:rsid w:val="008A77E8"/>
    <w:rsid w:val="008B37A2"/>
    <w:rsid w:val="008B41C9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29DD"/>
    <w:rsid w:val="00922AEF"/>
    <w:rsid w:val="00923693"/>
    <w:rsid w:val="009244CE"/>
    <w:rsid w:val="00925928"/>
    <w:rsid w:val="00925D2D"/>
    <w:rsid w:val="00926ACD"/>
    <w:rsid w:val="00930BFF"/>
    <w:rsid w:val="00931D47"/>
    <w:rsid w:val="00932F66"/>
    <w:rsid w:val="009331B1"/>
    <w:rsid w:val="00933889"/>
    <w:rsid w:val="009346BF"/>
    <w:rsid w:val="009444AD"/>
    <w:rsid w:val="00946B16"/>
    <w:rsid w:val="0094772A"/>
    <w:rsid w:val="009519B0"/>
    <w:rsid w:val="00951F8E"/>
    <w:rsid w:val="00953C81"/>
    <w:rsid w:val="0095562F"/>
    <w:rsid w:val="009620D9"/>
    <w:rsid w:val="0096214F"/>
    <w:rsid w:val="0096310A"/>
    <w:rsid w:val="009652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6DB"/>
    <w:rsid w:val="00980977"/>
    <w:rsid w:val="00981EDD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97EE6"/>
    <w:rsid w:val="00AA15B2"/>
    <w:rsid w:val="00AA1955"/>
    <w:rsid w:val="00AA2176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0700B"/>
    <w:rsid w:val="00B1276B"/>
    <w:rsid w:val="00B136B9"/>
    <w:rsid w:val="00B145D8"/>
    <w:rsid w:val="00B14DBB"/>
    <w:rsid w:val="00B160CA"/>
    <w:rsid w:val="00B16D08"/>
    <w:rsid w:val="00B17DC3"/>
    <w:rsid w:val="00B221C5"/>
    <w:rsid w:val="00B2335B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12D0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2BA9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621D"/>
    <w:rsid w:val="00D67ED0"/>
    <w:rsid w:val="00D72EAC"/>
    <w:rsid w:val="00D74002"/>
    <w:rsid w:val="00D7635E"/>
    <w:rsid w:val="00D76960"/>
    <w:rsid w:val="00D76A70"/>
    <w:rsid w:val="00D80B52"/>
    <w:rsid w:val="00D810F6"/>
    <w:rsid w:val="00D81B04"/>
    <w:rsid w:val="00D86F7A"/>
    <w:rsid w:val="00D92E8E"/>
    <w:rsid w:val="00D9306C"/>
    <w:rsid w:val="00D93DAD"/>
    <w:rsid w:val="00D96B39"/>
    <w:rsid w:val="00DA0A6B"/>
    <w:rsid w:val="00DA19E7"/>
    <w:rsid w:val="00DA5228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429FE"/>
    <w:rsid w:val="00E447E7"/>
    <w:rsid w:val="00E46C79"/>
    <w:rsid w:val="00E46EEF"/>
    <w:rsid w:val="00E50DDF"/>
    <w:rsid w:val="00E52F46"/>
    <w:rsid w:val="00E56EA7"/>
    <w:rsid w:val="00E577D8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A69A6"/>
    <w:rsid w:val="00EB223A"/>
    <w:rsid w:val="00EB398D"/>
    <w:rsid w:val="00EB4730"/>
    <w:rsid w:val="00EB644D"/>
    <w:rsid w:val="00EC29B2"/>
    <w:rsid w:val="00EC37DF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B70F4"/>
    <w:rsid w:val="00FC1489"/>
    <w:rsid w:val="00FC3F60"/>
    <w:rsid w:val="00FC756C"/>
    <w:rsid w:val="00FC7D65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FA70BD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A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97EE6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A63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tova.dagmar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utova.dagmar@frydekmiste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A690-BCE8-4ACE-A1E4-5B48DE72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16</Pages>
  <Words>6286</Words>
  <Characters>37088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Tomáš Večeřa</cp:lastModifiedBy>
  <cp:revision>23</cp:revision>
  <cp:lastPrinted>2025-03-19T07:24:00Z</cp:lastPrinted>
  <dcterms:created xsi:type="dcterms:W3CDTF">2021-04-06T12:11:00Z</dcterms:created>
  <dcterms:modified xsi:type="dcterms:W3CDTF">2025-07-01T11:27:00Z</dcterms:modified>
</cp:coreProperties>
</file>