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CA575B" w:rsidRDefault="00580F0E" w:rsidP="00580F0E">
      <w:pPr>
        <w:spacing w:after="120" w:line="276" w:lineRule="auto"/>
        <w:jc w:val="center"/>
        <w:rPr>
          <w:rFonts w:ascii="Tahoma" w:hAnsi="Tahoma" w:cs="Tahoma"/>
          <w:b/>
          <w:sz w:val="32"/>
          <w:szCs w:val="32"/>
        </w:rPr>
      </w:pPr>
      <w:bookmarkStart w:id="0" w:name="_GoBack"/>
      <w:bookmarkEnd w:id="0"/>
      <w:r w:rsidRPr="00CA575B">
        <w:rPr>
          <w:rFonts w:ascii="Tahoma" w:hAnsi="Tahoma" w:cs="Tahoma"/>
          <w:b/>
          <w:sz w:val="32"/>
          <w:szCs w:val="32"/>
        </w:rPr>
        <w:t xml:space="preserve">Smlouva o </w:t>
      </w:r>
      <w:bookmarkStart w:id="1" w:name="_Hlk196896662"/>
      <w:r w:rsidRPr="00CA575B">
        <w:rPr>
          <w:rFonts w:ascii="Tahoma" w:hAnsi="Tahoma" w:cs="Tahoma"/>
          <w:b/>
          <w:sz w:val="32"/>
          <w:szCs w:val="32"/>
        </w:rPr>
        <w:t xml:space="preserve">výkonu činností </w:t>
      </w:r>
      <w:r w:rsidRPr="00CA575B">
        <w:rPr>
          <w:rFonts w:ascii="Tahoma" w:hAnsi="Tahoma" w:cs="Tahoma"/>
          <w:b/>
          <w:noProof/>
          <w:sz w:val="32"/>
          <w:szCs w:val="32"/>
        </w:rPr>
        <w:t>koordinátora BOZP</w:t>
      </w:r>
      <w:r w:rsidR="00F55500">
        <w:rPr>
          <w:rFonts w:ascii="Tahoma" w:hAnsi="Tahoma" w:cs="Tahoma"/>
          <w:b/>
          <w:noProof/>
          <w:sz w:val="32"/>
          <w:szCs w:val="32"/>
        </w:rPr>
        <w:t xml:space="preserve"> </w:t>
      </w:r>
      <w:r w:rsidRPr="00CA575B">
        <w:rPr>
          <w:rFonts w:ascii="Tahoma" w:hAnsi="Tahoma" w:cs="Tahoma"/>
          <w:b/>
          <w:noProof/>
          <w:sz w:val="32"/>
          <w:szCs w:val="32"/>
        </w:rPr>
        <w:t>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C35D65" w:rsidRPr="00C35D65">
        <w:rPr>
          <w:rFonts w:ascii="Tahoma" w:hAnsi="Tahoma" w:cs="Tahoma"/>
          <w:b/>
          <w:sz w:val="32"/>
          <w:szCs w:val="32"/>
        </w:rPr>
        <w:t>„Novostavba tělocvičny ZŠ F-M, ul. Jana Čapka 2555</w:t>
      </w:r>
      <w:bookmarkEnd w:id="1"/>
      <w:r w:rsidRPr="00CA575B">
        <w:rPr>
          <w:rFonts w:ascii="Tahoma" w:hAnsi="Tahoma" w:cs="Tahoma"/>
          <w:b/>
          <w:sz w:val="32"/>
          <w:szCs w:val="32"/>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8836F5">
        <w:rPr>
          <w:rFonts w:ascii="Tahoma" w:hAnsi="Tahoma" w:cs="Tahoma"/>
          <w:sz w:val="21"/>
          <w:szCs w:val="21"/>
        </w:rPr>
        <w:t xml:space="preserve">Ing. </w:t>
      </w:r>
      <w:r w:rsidR="009719E8">
        <w:rPr>
          <w:rFonts w:ascii="Tahoma" w:hAnsi="Tahoma" w:cs="Tahoma"/>
          <w:sz w:val="21"/>
          <w:szCs w:val="21"/>
        </w:rPr>
        <w:t>Kateřina Dehnerová</w:t>
      </w:r>
      <w:r w:rsidR="008836F5">
        <w:rPr>
          <w:rFonts w:ascii="Tahoma" w:hAnsi="Tahoma" w:cs="Tahoma"/>
          <w:sz w:val="21"/>
          <w:szCs w:val="21"/>
        </w:rPr>
        <w:t xml:space="preserve"> –ved</w:t>
      </w:r>
      <w:r w:rsidR="00D46239">
        <w:rPr>
          <w:rFonts w:ascii="Tahoma" w:hAnsi="Tahoma" w:cs="Tahoma"/>
          <w:sz w:val="21"/>
          <w:szCs w:val="21"/>
        </w:rPr>
        <w:t>oucí</w:t>
      </w:r>
      <w:r w:rsidR="008836F5">
        <w:rPr>
          <w:rFonts w:ascii="Tahoma" w:hAnsi="Tahoma" w:cs="Tahoma"/>
          <w:sz w:val="21"/>
          <w:szCs w:val="21"/>
        </w:rPr>
        <w:t xml:space="preserve"> investičního odboru</w:t>
      </w:r>
    </w:p>
    <w:p w:rsidR="008836F5" w:rsidRDefault="008836F5" w:rsidP="00580F0E">
      <w:pPr>
        <w:pStyle w:val="bllzaklad"/>
        <w:keepNext/>
        <w:spacing w:after="0"/>
        <w:rPr>
          <w:rFonts w:ascii="Tahoma" w:hAnsi="Tahoma" w:cs="Tahoma"/>
          <w:sz w:val="21"/>
          <w:szCs w:val="21"/>
        </w:rPr>
      </w:pPr>
      <w:r>
        <w:rPr>
          <w:rFonts w:ascii="Tahoma" w:hAnsi="Tahoma" w:cs="Tahoma"/>
          <w:sz w:val="21"/>
          <w:szCs w:val="21"/>
        </w:rPr>
        <w:t xml:space="preserve">                                  </w:t>
      </w:r>
      <w:r w:rsidR="00C35D65">
        <w:rPr>
          <w:rFonts w:ascii="Tahoma" w:hAnsi="Tahoma" w:cs="Tahoma"/>
          <w:sz w:val="21"/>
          <w:szCs w:val="21"/>
        </w:rPr>
        <w:t xml:space="preserve"> </w:t>
      </w:r>
      <w:r>
        <w:rPr>
          <w:rFonts w:ascii="Tahoma" w:hAnsi="Tahoma" w:cs="Tahoma"/>
          <w:sz w:val="21"/>
          <w:szCs w:val="21"/>
        </w:rPr>
        <w:t xml:space="preserve">tel.: 558 609 261, e-mail: </w:t>
      </w:r>
      <w:hyperlink r:id="rId8" w:history="1">
        <w:r w:rsidR="009719E8" w:rsidRPr="00A42FD6">
          <w:rPr>
            <w:rStyle w:val="Hypertextovodkaz"/>
            <w:rFonts w:ascii="Tahoma" w:hAnsi="Tahoma" w:cs="Tahoma"/>
            <w:sz w:val="21"/>
            <w:szCs w:val="21"/>
          </w:rPr>
          <w:t>dehnerova.katerina@frydekmistek.cz</w:t>
        </w:r>
      </w:hyperlink>
    </w:p>
    <w:p w:rsidR="00580F0E" w:rsidRPr="00DD2E88" w:rsidRDefault="008836F5" w:rsidP="0008268E">
      <w:pPr>
        <w:pStyle w:val="bllzaklad"/>
        <w:keepNext/>
        <w:spacing w:after="0"/>
        <w:ind w:left="2124"/>
        <w:rPr>
          <w:rFonts w:ascii="Tahoma" w:hAnsi="Tahoma" w:cs="Tahoma"/>
          <w:sz w:val="21"/>
          <w:szCs w:val="21"/>
        </w:rPr>
      </w:pPr>
      <w:r>
        <w:rPr>
          <w:rFonts w:ascii="Tahoma" w:hAnsi="Tahoma" w:cs="Tahoma"/>
          <w:sz w:val="21"/>
          <w:szCs w:val="21"/>
        </w:rPr>
        <w:t xml:space="preserve">  </w:t>
      </w:r>
      <w:r w:rsidR="00580F0E">
        <w:rPr>
          <w:rFonts w:ascii="Tahoma" w:hAnsi="Tahoma" w:cs="Tahoma"/>
          <w:sz w:val="21"/>
          <w:szCs w:val="21"/>
        </w:rPr>
        <w:t xml:space="preserve">Ing. </w:t>
      </w:r>
      <w:r w:rsidR="00C35D65">
        <w:rPr>
          <w:rFonts w:ascii="Tahoma" w:hAnsi="Tahoma" w:cs="Tahoma"/>
          <w:sz w:val="21"/>
          <w:szCs w:val="21"/>
        </w:rPr>
        <w:t>Petr Mitura</w:t>
      </w:r>
      <w:r w:rsidR="00580F0E" w:rsidRPr="00DD2E88">
        <w:rPr>
          <w:rFonts w:ascii="Tahoma" w:hAnsi="Tahoma" w:cs="Tahoma"/>
          <w:sz w:val="21"/>
          <w:szCs w:val="21"/>
        </w:rPr>
        <w:t xml:space="preserve"> -  technik investičního odboru </w:t>
      </w:r>
    </w:p>
    <w:p w:rsidR="00580F0E" w:rsidRDefault="006D1F7F" w:rsidP="00580F0E">
      <w:pPr>
        <w:keepNext/>
        <w:ind w:left="2832" w:hanging="708"/>
        <w:jc w:val="both"/>
        <w:rPr>
          <w:rFonts w:ascii="Tahoma" w:hAnsi="Tahoma" w:cs="Tahoma"/>
          <w:sz w:val="21"/>
          <w:szCs w:val="21"/>
        </w:rPr>
      </w:pPr>
      <w:r>
        <w:rPr>
          <w:rFonts w:ascii="Tahoma" w:hAnsi="Tahoma" w:cs="Tahoma"/>
          <w:sz w:val="21"/>
          <w:szCs w:val="21"/>
        </w:rPr>
        <w:t xml:space="preserve">  </w:t>
      </w:r>
      <w:r w:rsidR="00580F0E" w:rsidRPr="00DD2E88">
        <w:rPr>
          <w:rFonts w:ascii="Tahoma" w:hAnsi="Tahoma" w:cs="Tahoma"/>
          <w:sz w:val="21"/>
          <w:szCs w:val="21"/>
        </w:rPr>
        <w:t>tel: 558 609 2</w:t>
      </w:r>
      <w:r w:rsidR="00393581">
        <w:rPr>
          <w:rFonts w:ascii="Tahoma" w:hAnsi="Tahoma" w:cs="Tahoma"/>
          <w:sz w:val="21"/>
          <w:szCs w:val="21"/>
        </w:rPr>
        <w:t>6</w:t>
      </w:r>
      <w:r w:rsidR="00C35D65">
        <w:rPr>
          <w:rFonts w:ascii="Tahoma" w:hAnsi="Tahoma" w:cs="Tahoma"/>
          <w:sz w:val="21"/>
          <w:szCs w:val="21"/>
        </w:rPr>
        <w:t>3</w:t>
      </w:r>
      <w:r w:rsidR="00580F0E" w:rsidRPr="00DD2E88">
        <w:rPr>
          <w:rFonts w:ascii="Tahoma" w:hAnsi="Tahoma" w:cs="Tahoma"/>
          <w:sz w:val="21"/>
          <w:szCs w:val="21"/>
        </w:rPr>
        <w:t xml:space="preserve"> /</w:t>
      </w:r>
      <w:r w:rsidR="00580F0E">
        <w:rPr>
          <w:rFonts w:ascii="Tahoma" w:hAnsi="Tahoma" w:cs="Tahoma"/>
          <w:sz w:val="21"/>
          <w:szCs w:val="21"/>
        </w:rPr>
        <w:t xml:space="preserve"> </w:t>
      </w:r>
      <w:r w:rsidR="00580F0E" w:rsidRPr="00DD2E88">
        <w:rPr>
          <w:rFonts w:ascii="Tahoma" w:hAnsi="Tahoma" w:cs="Tahoma"/>
          <w:sz w:val="21"/>
          <w:szCs w:val="21"/>
        </w:rPr>
        <w:t xml:space="preserve">email: </w:t>
      </w:r>
      <w:hyperlink r:id="rId9" w:history="1">
        <w:r w:rsidR="00C35D65">
          <w:rPr>
            <w:rStyle w:val="Hypertextovodkaz"/>
            <w:rFonts w:ascii="Tahoma" w:hAnsi="Tahoma" w:cs="Tahoma"/>
            <w:sz w:val="21"/>
            <w:szCs w:val="21"/>
          </w:rPr>
          <w:t>mitura.petr</w:t>
        </w:r>
        <w:r w:rsidR="00D46239" w:rsidRPr="0021431C">
          <w:rPr>
            <w:rStyle w:val="Hypertextovodkaz"/>
            <w:rFonts w:ascii="Tahoma" w:hAnsi="Tahoma" w:cs="Tahoma"/>
            <w:sz w:val="21"/>
            <w:szCs w:val="21"/>
          </w:rPr>
          <w:t>@frydekmistek.cz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 xml:space="preserve">na </w:t>
      </w:r>
      <w:r w:rsidRPr="006111A2">
        <w:rPr>
          <w:rFonts w:ascii="Tahoma" w:hAnsi="Tahoma" w:cs="Tahoma"/>
          <w:sz w:val="21"/>
          <w:szCs w:val="21"/>
        </w:rPr>
        <w:lastRenderedPageBreak/>
        <w:t>stavbě</w:t>
      </w:r>
      <w:r w:rsidR="00C35D65">
        <w:rPr>
          <w:rFonts w:ascii="Tahoma" w:hAnsi="Tahoma" w:cs="Tahoma"/>
          <w:sz w:val="21"/>
          <w:szCs w:val="21"/>
        </w:rPr>
        <w:t xml:space="preserve"> </w:t>
      </w:r>
      <w:r w:rsidR="00C35D65" w:rsidRPr="00C35D65">
        <w:rPr>
          <w:rFonts w:ascii="Tahoma" w:hAnsi="Tahoma" w:cs="Tahoma"/>
          <w:sz w:val="21"/>
          <w:szCs w:val="21"/>
        </w:rPr>
        <w:t>„Novostavba tělocvičny ZŠ F-M, ul. Jana Čapka 2555“</w:t>
      </w:r>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 xml:space="preserve">po dobu </w:t>
      </w:r>
      <w:r w:rsidR="00C35D65">
        <w:rPr>
          <w:rFonts w:ascii="Tahoma" w:hAnsi="Tahoma" w:cs="Tahoma"/>
          <w:b/>
          <w:sz w:val="21"/>
          <w:szCs w:val="21"/>
        </w:rPr>
        <w:t>18</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w:t>
      </w:r>
      <w:r w:rsidR="00B27CBD">
        <w:rPr>
          <w:rFonts w:ascii="Tahoma" w:hAnsi="Tahoma" w:cs="Tahoma"/>
          <w:b/>
          <w:sz w:val="21"/>
          <w:szCs w:val="21"/>
        </w:rPr>
        <w:t xml:space="preserve">minimálně 2 x týdně </w:t>
      </w:r>
      <w:r>
        <w:rPr>
          <w:rFonts w:ascii="Tahoma" w:hAnsi="Tahoma" w:cs="Tahoma"/>
          <w:b/>
          <w:sz w:val="21"/>
          <w:szCs w:val="21"/>
        </w:rPr>
        <w:t xml:space="preserve">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C35D65">
        <w:rPr>
          <w:rFonts w:ascii="Tahoma" w:hAnsi="Tahoma" w:cs="Tahoma"/>
          <w:b/>
          <w:sz w:val="21"/>
          <w:szCs w:val="21"/>
        </w:rPr>
        <w:t>6</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2"/>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DA57D9" w:rsidP="00654E75">
      <w:pPr>
        <w:spacing w:after="120" w:line="276" w:lineRule="auto"/>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 xml:space="preserve">.1 </w:t>
      </w:r>
      <w:r w:rsidR="00EB0352"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DA57D9" w:rsidP="00654E75">
      <w:pPr>
        <w:spacing w:after="120" w:line="276" w:lineRule="auto"/>
        <w:ind w:left="426" w:hanging="426"/>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.2  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Pr="006C5CAA"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B473FC">
        <w:rPr>
          <w:rFonts w:ascii="Tahoma" w:hAnsi="Tahoma" w:cs="Tahoma"/>
          <w:sz w:val="21"/>
          <w:szCs w:val="21"/>
        </w:rPr>
        <w:t>ZŠ FM, ul. Jana Čapka 2555, Frýdek-Místek</w:t>
      </w:r>
      <w:r w:rsidR="0079049D" w:rsidRPr="0079049D">
        <w:rPr>
          <w:rFonts w:ascii="Tahoma" w:hAnsi="Tahoma" w:cs="Tahoma"/>
          <w:sz w:val="21"/>
          <w:szCs w:val="21"/>
        </w:rPr>
        <w:t>“</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F30616" w:rsidRDefault="00F362FB" w:rsidP="002D22A0">
            <w:pPr>
              <w:tabs>
                <w:tab w:val="right" w:pos="8460"/>
              </w:tabs>
              <w:rPr>
                <w:rFonts w:ascii="Tahoma" w:hAnsi="Tahoma" w:cs="Tahoma"/>
                <w:bCs/>
                <w:sz w:val="21"/>
                <w:szCs w:val="21"/>
              </w:rPr>
            </w:pPr>
            <w:r w:rsidRPr="00F30616">
              <w:rPr>
                <w:rFonts w:ascii="Tahoma" w:hAnsi="Tahoma" w:cs="Tahoma"/>
                <w:sz w:val="21"/>
                <w:szCs w:val="21"/>
              </w:rPr>
              <w:t>Vypracování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Cs/>
                <w:sz w:val="21"/>
                <w:szCs w:val="21"/>
              </w:rPr>
            </w:pPr>
            <w:r w:rsidRPr="009B2748">
              <w:rPr>
                <w:rFonts w:ascii="Tahoma" w:hAnsi="Tahoma" w:cs="Tahoma"/>
                <w:sz w:val="21"/>
                <w:szCs w:val="21"/>
              </w:rPr>
              <w:t>Výkon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F30616" w:rsidRDefault="00F362FB" w:rsidP="002D22A0">
            <w:pPr>
              <w:spacing w:before="120" w:after="120"/>
              <w:jc w:val="both"/>
              <w:rPr>
                <w:rFonts w:ascii="Tahoma" w:hAnsi="Tahoma" w:cs="Tahoma"/>
                <w:sz w:val="21"/>
                <w:szCs w:val="21"/>
              </w:rPr>
            </w:pPr>
            <w:r w:rsidRPr="00F30616">
              <w:rPr>
                <w:rFonts w:ascii="Tahoma" w:hAnsi="Tahoma" w:cs="Tahoma"/>
                <w:sz w:val="21"/>
                <w:szCs w:val="21"/>
              </w:rPr>
              <w:t xml:space="preserve">Výkon činností za 1 den realizace Stavby </w:t>
            </w:r>
          </w:p>
        </w:tc>
        <w:tc>
          <w:tcPr>
            <w:tcW w:w="1843" w:type="dxa"/>
            <w:shd w:val="clear" w:color="auto" w:fill="C0C0C0"/>
            <w:vAlign w:val="center"/>
            <w:hideMark/>
          </w:tcPr>
          <w:p w:rsidR="00F362FB" w:rsidRPr="00F30616" w:rsidRDefault="00F362FB" w:rsidP="002D22A0">
            <w:pPr>
              <w:spacing w:before="120" w:after="120"/>
              <w:jc w:val="center"/>
              <w:rPr>
                <w:rFonts w:ascii="Tahoma" w:hAnsi="Tahoma" w:cs="Tahoma"/>
                <w:b/>
                <w:bCs/>
                <w:sz w:val="21"/>
                <w:szCs w:val="21"/>
              </w:rPr>
            </w:pPr>
            <w:r w:rsidRPr="00F30616">
              <w:rPr>
                <w:rFonts w:ascii="Tahoma" w:hAnsi="Tahoma" w:cs="Tahoma"/>
                <w:b/>
                <w:bCs/>
                <w:sz w:val="21"/>
                <w:szCs w:val="21"/>
              </w:rPr>
              <w:t>Nesčítat v rámci sloupce</w:t>
            </w:r>
          </w:p>
          <w:p w:rsidR="00F362FB" w:rsidRPr="00F30616" w:rsidRDefault="00F362FB" w:rsidP="002D22A0">
            <w:pPr>
              <w:spacing w:before="120" w:after="120"/>
              <w:jc w:val="center"/>
              <w:rPr>
                <w:rFonts w:ascii="Tahoma" w:hAnsi="Tahoma" w:cs="Tahoma"/>
                <w:sz w:val="21"/>
                <w:szCs w:val="21"/>
              </w:rPr>
            </w:pPr>
            <w:r w:rsidRPr="00F30616">
              <w:rPr>
                <w:rFonts w:ascii="Tahoma" w:hAnsi="Tahoma" w:cs="Tahoma"/>
                <w:sz w:val="21"/>
                <w:szCs w:val="21"/>
              </w:rPr>
              <w:t>0,00 Kč</w:t>
            </w:r>
          </w:p>
        </w:tc>
        <w:tc>
          <w:tcPr>
            <w:tcW w:w="1842" w:type="dxa"/>
            <w:shd w:val="clear" w:color="auto" w:fill="C0C0C0"/>
            <w:vAlign w:val="center"/>
            <w:hideMark/>
          </w:tcPr>
          <w:p w:rsidR="00F362FB" w:rsidRPr="00F30616" w:rsidRDefault="00F362FB" w:rsidP="002D22A0">
            <w:pPr>
              <w:spacing w:before="120" w:after="120"/>
              <w:jc w:val="center"/>
              <w:rPr>
                <w:rFonts w:ascii="Tahoma" w:hAnsi="Tahoma" w:cs="Tahoma"/>
                <w:b/>
                <w:bCs/>
                <w:sz w:val="21"/>
                <w:szCs w:val="21"/>
              </w:rPr>
            </w:pPr>
            <w:r w:rsidRPr="00F30616">
              <w:rPr>
                <w:rFonts w:ascii="Tahoma" w:hAnsi="Tahoma" w:cs="Tahoma"/>
                <w:b/>
                <w:bCs/>
                <w:sz w:val="21"/>
                <w:szCs w:val="21"/>
              </w:rPr>
              <w:t>Nesčítat v rámci sloupce</w:t>
            </w:r>
          </w:p>
          <w:p w:rsidR="00F362FB" w:rsidRPr="00F30616" w:rsidRDefault="00F362FB" w:rsidP="002D22A0">
            <w:pPr>
              <w:spacing w:before="120" w:after="120"/>
              <w:jc w:val="center"/>
              <w:rPr>
                <w:rFonts w:ascii="Tahoma" w:hAnsi="Tahoma" w:cs="Tahoma"/>
                <w:sz w:val="21"/>
                <w:szCs w:val="21"/>
              </w:rPr>
            </w:pPr>
            <w:r w:rsidRPr="00F30616">
              <w:rPr>
                <w:rFonts w:ascii="Tahoma" w:hAnsi="Tahoma" w:cs="Tahoma"/>
                <w:sz w:val="21"/>
                <w:szCs w:val="21"/>
              </w:rPr>
              <w:t>0,00 Kč</w:t>
            </w:r>
          </w:p>
        </w:tc>
        <w:tc>
          <w:tcPr>
            <w:tcW w:w="1843" w:type="dxa"/>
            <w:shd w:val="clear" w:color="auto" w:fill="C0C0C0"/>
            <w:vAlign w:val="center"/>
            <w:hideMark/>
          </w:tcPr>
          <w:p w:rsidR="00F362FB" w:rsidRPr="00F30616" w:rsidRDefault="00F362FB" w:rsidP="002D22A0">
            <w:pPr>
              <w:spacing w:before="120" w:after="120"/>
              <w:jc w:val="center"/>
              <w:rPr>
                <w:rFonts w:ascii="Tahoma" w:hAnsi="Tahoma" w:cs="Tahoma"/>
                <w:b/>
                <w:bCs/>
                <w:sz w:val="21"/>
                <w:szCs w:val="21"/>
              </w:rPr>
            </w:pPr>
            <w:r w:rsidRPr="00F30616">
              <w:rPr>
                <w:rFonts w:ascii="Tahoma" w:hAnsi="Tahoma" w:cs="Tahoma"/>
                <w:b/>
                <w:bCs/>
                <w:sz w:val="21"/>
                <w:szCs w:val="21"/>
              </w:rPr>
              <w:t>Nesčítat v rámci sloupce</w:t>
            </w:r>
          </w:p>
          <w:p w:rsidR="00F362FB" w:rsidRPr="00F30616" w:rsidRDefault="00F362FB" w:rsidP="002D22A0">
            <w:pPr>
              <w:spacing w:before="120" w:after="120"/>
              <w:jc w:val="center"/>
              <w:rPr>
                <w:rFonts w:ascii="Tahoma" w:hAnsi="Tahoma" w:cs="Tahoma"/>
                <w:sz w:val="21"/>
                <w:szCs w:val="21"/>
              </w:rPr>
            </w:pPr>
            <w:r w:rsidRPr="00F30616">
              <w:rPr>
                <w:rFonts w:ascii="Tahoma" w:hAnsi="Tahoma" w:cs="Tahoma"/>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Pr="009B2748" w:rsidRDefault="00F362FB" w:rsidP="00F362FB">
      <w:pPr>
        <w:spacing w:after="120" w:line="240" w:lineRule="atLeast"/>
        <w:contextualSpacing/>
        <w:jc w:val="both"/>
        <w:rPr>
          <w:rFonts w:ascii="Tahoma" w:hAnsi="Tahoma" w:cs="Tahoma"/>
          <w:b/>
          <w:sz w:val="21"/>
          <w:szCs w:val="21"/>
        </w:rPr>
      </w:pPr>
    </w:p>
    <w:p w:rsidR="0071464E" w:rsidRPr="00B9296B" w:rsidRDefault="0071464E" w:rsidP="00F362FB">
      <w:pPr>
        <w:pStyle w:val="Odstavecseseznamem"/>
        <w:spacing w:after="120" w:line="276" w:lineRule="auto"/>
        <w:ind w:left="709"/>
        <w:jc w:val="both"/>
        <w:rPr>
          <w:rFonts w:ascii="Tahoma" w:hAnsi="Tahoma" w:cs="Tahoma"/>
          <w:sz w:val="21"/>
          <w:szCs w:val="21"/>
        </w:rPr>
      </w:pP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3"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w:t>
      </w:r>
      <w:r w:rsidRPr="002A5086">
        <w:rPr>
          <w:rFonts w:ascii="Tahoma" w:hAnsi="Tahoma" w:cs="Tahoma"/>
          <w:bCs/>
          <w:sz w:val="21"/>
          <w:szCs w:val="21"/>
        </w:rPr>
        <w:lastRenderedPageBreak/>
        <w:t xml:space="preserve">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sazby </w:t>
      </w:r>
      <w:r w:rsidR="0079049D">
        <w:rPr>
          <w:rFonts w:ascii="Tahoma" w:hAnsi="Tahoma" w:cs="Tahoma"/>
          <w:bCs/>
          <w:sz w:val="21"/>
          <w:szCs w:val="21"/>
        </w:rPr>
        <w:t>určené v</w:t>
      </w:r>
      <w:r w:rsidR="003877AC">
        <w:rPr>
          <w:rFonts w:ascii="Tahoma" w:hAnsi="Tahoma" w:cs="Tahoma"/>
          <w:bCs/>
          <w:sz w:val="21"/>
          <w:szCs w:val="21"/>
        </w:rPr>
        <w:t xml:space="preserve"> odst. 1 písm. b) tohoto článku smlouvy. </w:t>
      </w:r>
    </w:p>
    <w:bookmarkEnd w:id="3"/>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prodloužen, má právo na odměnu dle 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písm. b) tohoto článku smlouvy</w:t>
      </w:r>
      <w:r w:rsidRPr="006111A2">
        <w:rPr>
          <w:rFonts w:ascii="Tahoma" w:hAnsi="Tahoma" w:cs="Tahoma"/>
          <w:sz w:val="21"/>
          <w:szCs w:val="21"/>
        </w:rPr>
        <w:t>. 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B473FC">
        <w:rPr>
          <w:rFonts w:ascii="Tahoma" w:hAnsi="Tahoma" w:cs="Tahoma"/>
          <w:sz w:val="21"/>
          <w:szCs w:val="21"/>
        </w:rPr>
        <w:t>V</w:t>
      </w:r>
      <w:r w:rsidR="00B473FC" w:rsidRPr="00B473FC">
        <w:rPr>
          <w:rFonts w:ascii="Tahoma" w:hAnsi="Tahoma" w:cs="Tahoma"/>
          <w:sz w:val="21"/>
          <w:szCs w:val="21"/>
        </w:rPr>
        <w:t>ýkonu činností koordinátora BOZP na stavbě „Novostavba tělocvičny ZŠ F-M, ul. Jana Čapka 2555</w:t>
      </w:r>
      <w:r w:rsidR="00BD3E0D" w:rsidRPr="00B473FC">
        <w:rPr>
          <w:rFonts w:ascii="Tahoma" w:hAnsi="Tahoma" w:cs="Tahoma"/>
          <w:sz w:val="21"/>
          <w:szCs w:val="21"/>
        </w:rPr>
        <w:t>“</w:t>
      </w:r>
      <w:r w:rsidRPr="00B473FC">
        <w:rPr>
          <w:rFonts w:ascii="Tahoma" w:hAnsi="Tahoma" w:cs="Tahoma"/>
          <w:sz w:val="21"/>
          <w:szCs w:val="21"/>
        </w:rPr>
        <w:t xml:space="preserve">.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6638C" w:rsidRDefault="00A6638C" w:rsidP="00A6638C">
      <w:pPr>
        <w:pStyle w:val="Odstavecseseznamem"/>
        <w:numPr>
          <w:ilvl w:val="0"/>
          <w:numId w:val="13"/>
        </w:numPr>
        <w:spacing w:after="200"/>
        <w:ind w:left="426" w:hanging="284"/>
        <w:jc w:val="both"/>
        <w:rPr>
          <w:rFonts w:ascii="Tahoma" w:hAnsi="Tahoma" w:cs="Tahoma"/>
          <w:sz w:val="21"/>
          <w:szCs w:val="21"/>
        </w:rPr>
      </w:pPr>
      <w:r>
        <w:rPr>
          <w:rFonts w:ascii="Tahoma" w:hAnsi="Tahoma" w:cs="Tahoma"/>
          <w:sz w:val="21"/>
          <w:szCs w:val="21"/>
        </w:rPr>
        <w:t>Faktury</w:t>
      </w:r>
      <w:r w:rsidRPr="00B715AE">
        <w:rPr>
          <w:rFonts w:ascii="Tahoma" w:hAnsi="Tahoma" w:cs="Tahoma"/>
          <w:sz w:val="21"/>
          <w:szCs w:val="21"/>
        </w:rPr>
        <w:t xml:space="preserve"> </w:t>
      </w:r>
      <w:r>
        <w:rPr>
          <w:rFonts w:ascii="Tahoma" w:hAnsi="Tahoma" w:cs="Tahoma"/>
          <w:sz w:val="21"/>
          <w:szCs w:val="21"/>
        </w:rPr>
        <w:t xml:space="preserve">za </w:t>
      </w:r>
      <w:r w:rsidR="00D65775">
        <w:rPr>
          <w:rFonts w:ascii="Tahoma" w:hAnsi="Tahoma" w:cs="Tahoma"/>
          <w:sz w:val="21"/>
          <w:szCs w:val="21"/>
        </w:rPr>
        <w:t>výkon koordinátora BOZP</w:t>
      </w:r>
      <w:r>
        <w:rPr>
          <w:rFonts w:ascii="Tahoma" w:hAnsi="Tahoma" w:cs="Tahoma"/>
          <w:sz w:val="21"/>
          <w:szCs w:val="21"/>
        </w:rPr>
        <w:t xml:space="preserve"> budou vystaveny maximálně do výše 90 % odměny. Zbývající část odměny bude vyúčtována konečnou fakturou po ukončení plnění ve smyslu převzetí hotové stavby investorem a odstranění poslední vady z přejímacího řízení a po vydání kolaudačního souhlasu stavby.</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lastRenderedPageBreak/>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lastRenderedPageBreak/>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CE2BCB" w:rsidP="00C97F20">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Pr>
          <w:rFonts w:ascii="Tahoma" w:hAnsi="Tahoma" w:cs="Tahoma"/>
          <w:iCs/>
          <w:sz w:val="21"/>
          <w:szCs w:val="21"/>
        </w:rPr>
        <w:t>K</w:t>
      </w:r>
      <w:r w:rsidR="00954B74" w:rsidRPr="007132E9">
        <w:rPr>
          <w:rFonts w:ascii="Tahoma" w:hAnsi="Tahoma" w:cs="Tahoma"/>
          <w:iCs/>
          <w:sz w:val="21"/>
          <w:szCs w:val="21"/>
        </w:rPr>
        <w:t>oordinátor BOZP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00954B74"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00954B74" w:rsidRPr="007132E9">
        <w:rPr>
          <w:rFonts w:ascii="Tahoma" w:hAnsi="Tahoma" w:cs="Tahoma"/>
          <w:iCs/>
          <w:sz w:val="21"/>
          <w:szCs w:val="21"/>
        </w:rPr>
        <w:t xml:space="preserve">zavazuje </w:t>
      </w:r>
      <w:r w:rsidR="00C97F20">
        <w:rPr>
          <w:rFonts w:ascii="Tahoma" w:hAnsi="Tahoma" w:cs="Tahoma"/>
          <w:iCs/>
          <w:sz w:val="21"/>
          <w:szCs w:val="21"/>
        </w:rPr>
        <w:t xml:space="preserve">se </w:t>
      </w:r>
      <w:r w:rsidR="00954B74"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B27CBD" w:rsidRDefault="00B27CBD" w:rsidP="00B27CBD">
      <w:pPr>
        <w:pStyle w:val="Odstavecseseznamem"/>
        <w:widowControl w:val="0"/>
        <w:spacing w:after="120" w:line="276" w:lineRule="auto"/>
        <w:ind w:left="426"/>
        <w:jc w:val="both"/>
        <w:rPr>
          <w:rFonts w:ascii="Tahoma" w:hAnsi="Tahoma" w:cs="Tahoma"/>
          <w:iCs/>
          <w:sz w:val="21"/>
          <w:szCs w:val="21"/>
        </w:rPr>
      </w:pPr>
    </w:p>
    <w:p w:rsidR="00954B74" w:rsidRDefault="00B473FC" w:rsidP="00B27CBD">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B27CBD">
        <w:rPr>
          <w:rFonts w:ascii="Tahoma" w:hAnsi="Tahoma" w:cs="Tahoma"/>
          <w:iCs/>
          <w:sz w:val="21"/>
          <w:szCs w:val="21"/>
        </w:rPr>
        <w:t>Zakázka bude spolufinancována z Národní sportovní agentury</w:t>
      </w:r>
      <w:r w:rsidR="00B27CBD">
        <w:rPr>
          <w:rFonts w:ascii="Tahoma" w:hAnsi="Tahoma" w:cs="Tahoma"/>
          <w:iCs/>
          <w:sz w:val="21"/>
          <w:szCs w:val="21"/>
        </w:rPr>
        <w:t>, koordinátor BOZP je povinen dodržet podmínky tohoto dotačního titulu.</w:t>
      </w: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0"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w:t>
      </w:r>
      <w:r w:rsidRPr="008A45E4">
        <w:rPr>
          <w:rFonts w:ascii="Tahoma" w:hAnsi="Tahoma" w:cs="Tahoma"/>
          <w:sz w:val="21"/>
          <w:szCs w:val="21"/>
        </w:rPr>
        <w:lastRenderedPageBreak/>
        <w:t xml:space="preserve">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1"/>
      <w:footerReference w:type="default" r:id="rId12"/>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814" w:rsidRDefault="00E55814" w:rsidP="006A2306">
      <w:r>
        <w:separator/>
      </w:r>
    </w:p>
  </w:endnote>
  <w:endnote w:type="continuationSeparator" w:id="0">
    <w:p w:rsidR="00E55814" w:rsidRDefault="00E55814"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8A6BE8" w:rsidP="00161A58">
    <w:pPr>
      <w:pStyle w:val="Zpat"/>
      <w:rPr>
        <w:rFonts w:ascii="Arial" w:hAnsi="Arial" w:cs="Arial"/>
        <w:i/>
        <w:sz w:val="18"/>
        <w:szCs w:val="18"/>
        <w:lang w:val="cs-CZ"/>
      </w:rPr>
    </w:pPr>
    <w:r>
      <w:rPr>
        <w:noProof/>
      </w:rPr>
      <w:drawing>
        <wp:inline distT="0" distB="0" distL="0" distR="0" wp14:anchorId="7E39BC7D" wp14:editId="080109F0">
          <wp:extent cx="1560830" cy="780415"/>
          <wp:effectExtent l="0" t="0" r="127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80415"/>
                  </a:xfrm>
                  <a:prstGeom prst="rect">
                    <a:avLst/>
                  </a:prstGeom>
                  <a:noFill/>
                  <a:ln>
                    <a:noFill/>
                  </a:ln>
                </pic:spPr>
              </pic:pic>
            </a:graphicData>
          </a:graphic>
        </wp:inline>
      </w:drawing>
    </w:r>
    <w:r w:rsidR="00927AD9">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814" w:rsidRDefault="00E55814" w:rsidP="006A2306">
      <w:r>
        <w:separator/>
      </w:r>
    </w:p>
  </w:footnote>
  <w:footnote w:type="continuationSeparator" w:id="0">
    <w:p w:rsidR="00E55814" w:rsidRDefault="00E55814"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1"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7"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1"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6"/>
  </w:num>
  <w:num w:numId="2">
    <w:abstractNumId w:val="9"/>
  </w:num>
  <w:num w:numId="3">
    <w:abstractNumId w:val="38"/>
  </w:num>
  <w:num w:numId="4">
    <w:abstractNumId w:val="11"/>
  </w:num>
  <w:num w:numId="5">
    <w:abstractNumId w:val="26"/>
  </w:num>
  <w:num w:numId="6">
    <w:abstractNumId w:val="33"/>
  </w:num>
  <w:num w:numId="7">
    <w:abstractNumId w:val="23"/>
  </w:num>
  <w:num w:numId="8">
    <w:abstractNumId w:val="5"/>
  </w:num>
  <w:num w:numId="9">
    <w:abstractNumId w:val="35"/>
  </w:num>
  <w:num w:numId="10">
    <w:abstractNumId w:val="4"/>
  </w:num>
  <w:num w:numId="11">
    <w:abstractNumId w:val="3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15"/>
  </w:num>
  <w:num w:numId="16">
    <w:abstractNumId w:val="42"/>
  </w:num>
  <w:num w:numId="17">
    <w:abstractNumId w:val="10"/>
  </w:num>
  <w:num w:numId="18">
    <w:abstractNumId w:val="28"/>
  </w:num>
  <w:num w:numId="19">
    <w:abstractNumId w:val="12"/>
  </w:num>
  <w:num w:numId="20">
    <w:abstractNumId w:val="6"/>
  </w:num>
  <w:num w:numId="21">
    <w:abstractNumId w:val="39"/>
  </w:num>
  <w:num w:numId="22">
    <w:abstractNumId w:val="3"/>
  </w:num>
  <w:num w:numId="23">
    <w:abstractNumId w:val="25"/>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32"/>
  </w:num>
  <w:num w:numId="29">
    <w:abstractNumId w:val="13"/>
  </w:num>
  <w:num w:numId="30">
    <w:abstractNumId w:val="19"/>
  </w:num>
  <w:num w:numId="31">
    <w:abstractNumId w:val="30"/>
  </w:num>
  <w:num w:numId="32">
    <w:abstractNumId w:val="18"/>
  </w:num>
  <w:num w:numId="33">
    <w:abstractNumId w:val="8"/>
  </w:num>
  <w:num w:numId="34">
    <w:abstractNumId w:val="22"/>
  </w:num>
  <w:num w:numId="35">
    <w:abstractNumId w:val="34"/>
  </w:num>
  <w:num w:numId="36">
    <w:abstractNumId w:val="0"/>
  </w:num>
  <w:num w:numId="37">
    <w:abstractNumId w:val="29"/>
  </w:num>
  <w:num w:numId="38">
    <w:abstractNumId w:val="21"/>
  </w:num>
  <w:num w:numId="39">
    <w:abstractNumId w:val="7"/>
  </w:num>
  <w:num w:numId="40">
    <w:abstractNumId w:val="24"/>
  </w:num>
  <w:num w:numId="41">
    <w:abstractNumId w:val="43"/>
  </w:num>
  <w:num w:numId="42">
    <w:abstractNumId w:val="20"/>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974AE"/>
    <w:rsid w:val="000B5DE1"/>
    <w:rsid w:val="000C3F5A"/>
    <w:rsid w:val="000E0636"/>
    <w:rsid w:val="000E78FD"/>
    <w:rsid w:val="00114832"/>
    <w:rsid w:val="00120CC8"/>
    <w:rsid w:val="001508AE"/>
    <w:rsid w:val="00161A58"/>
    <w:rsid w:val="001B29A0"/>
    <w:rsid w:val="001C2BFD"/>
    <w:rsid w:val="001C4325"/>
    <w:rsid w:val="001C53BC"/>
    <w:rsid w:val="001D0FB6"/>
    <w:rsid w:val="00214BF6"/>
    <w:rsid w:val="00216389"/>
    <w:rsid w:val="002231CA"/>
    <w:rsid w:val="00246AF8"/>
    <w:rsid w:val="00266B2D"/>
    <w:rsid w:val="00297F21"/>
    <w:rsid w:val="002A5086"/>
    <w:rsid w:val="002B1596"/>
    <w:rsid w:val="002B3139"/>
    <w:rsid w:val="002C5FB1"/>
    <w:rsid w:val="002D36D8"/>
    <w:rsid w:val="002D6FB4"/>
    <w:rsid w:val="002F528C"/>
    <w:rsid w:val="0030202B"/>
    <w:rsid w:val="00303289"/>
    <w:rsid w:val="00306BF9"/>
    <w:rsid w:val="00320914"/>
    <w:rsid w:val="0035523E"/>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D768D"/>
    <w:rsid w:val="004E2163"/>
    <w:rsid w:val="004E6836"/>
    <w:rsid w:val="004F12CF"/>
    <w:rsid w:val="00517DCA"/>
    <w:rsid w:val="00522F8F"/>
    <w:rsid w:val="00523F2F"/>
    <w:rsid w:val="005667A3"/>
    <w:rsid w:val="0056696A"/>
    <w:rsid w:val="00567120"/>
    <w:rsid w:val="005779C0"/>
    <w:rsid w:val="00580F0E"/>
    <w:rsid w:val="00586188"/>
    <w:rsid w:val="005A1C3F"/>
    <w:rsid w:val="005A3DBD"/>
    <w:rsid w:val="005B7B49"/>
    <w:rsid w:val="005D4EBC"/>
    <w:rsid w:val="005D6528"/>
    <w:rsid w:val="005E50B9"/>
    <w:rsid w:val="005E5621"/>
    <w:rsid w:val="005E5655"/>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41A85"/>
    <w:rsid w:val="007508A4"/>
    <w:rsid w:val="0077016B"/>
    <w:rsid w:val="00772584"/>
    <w:rsid w:val="00775A21"/>
    <w:rsid w:val="00780CF1"/>
    <w:rsid w:val="00786FF2"/>
    <w:rsid w:val="0079049D"/>
    <w:rsid w:val="007B10D0"/>
    <w:rsid w:val="007C21D6"/>
    <w:rsid w:val="007C5F85"/>
    <w:rsid w:val="007D30AA"/>
    <w:rsid w:val="007D32CE"/>
    <w:rsid w:val="007D388C"/>
    <w:rsid w:val="007E0107"/>
    <w:rsid w:val="00826221"/>
    <w:rsid w:val="00835BF2"/>
    <w:rsid w:val="00852EDD"/>
    <w:rsid w:val="00855F2F"/>
    <w:rsid w:val="00862918"/>
    <w:rsid w:val="00871787"/>
    <w:rsid w:val="008836F5"/>
    <w:rsid w:val="0089212B"/>
    <w:rsid w:val="008A45E4"/>
    <w:rsid w:val="008A6BE8"/>
    <w:rsid w:val="008B0474"/>
    <w:rsid w:val="008D6BD3"/>
    <w:rsid w:val="008F2206"/>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D2664"/>
    <w:rsid w:val="009D281D"/>
    <w:rsid w:val="009E7E13"/>
    <w:rsid w:val="00A01867"/>
    <w:rsid w:val="00A072D1"/>
    <w:rsid w:val="00A24FF2"/>
    <w:rsid w:val="00A42F3A"/>
    <w:rsid w:val="00A56A28"/>
    <w:rsid w:val="00A6638C"/>
    <w:rsid w:val="00A80A5E"/>
    <w:rsid w:val="00A90174"/>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771E4"/>
    <w:rsid w:val="00C81AE1"/>
    <w:rsid w:val="00C859F0"/>
    <w:rsid w:val="00C97F20"/>
    <w:rsid w:val="00CA575B"/>
    <w:rsid w:val="00CB3B77"/>
    <w:rsid w:val="00CD522B"/>
    <w:rsid w:val="00CE18A6"/>
    <w:rsid w:val="00CE2021"/>
    <w:rsid w:val="00CE2BCB"/>
    <w:rsid w:val="00CE581B"/>
    <w:rsid w:val="00D23889"/>
    <w:rsid w:val="00D46239"/>
    <w:rsid w:val="00D50A1F"/>
    <w:rsid w:val="00D539E7"/>
    <w:rsid w:val="00D56AD8"/>
    <w:rsid w:val="00D65775"/>
    <w:rsid w:val="00D738A5"/>
    <w:rsid w:val="00D840AB"/>
    <w:rsid w:val="00DA57D9"/>
    <w:rsid w:val="00DA6DBD"/>
    <w:rsid w:val="00DE70E1"/>
    <w:rsid w:val="00DF0058"/>
    <w:rsid w:val="00DF4EE3"/>
    <w:rsid w:val="00E04BFA"/>
    <w:rsid w:val="00E11625"/>
    <w:rsid w:val="00E17BC6"/>
    <w:rsid w:val="00E3189B"/>
    <w:rsid w:val="00E55814"/>
    <w:rsid w:val="00E560C9"/>
    <w:rsid w:val="00E73562"/>
    <w:rsid w:val="00E7569E"/>
    <w:rsid w:val="00EA29BF"/>
    <w:rsid w:val="00EB0352"/>
    <w:rsid w:val="00ED1816"/>
    <w:rsid w:val="00ED7DD8"/>
    <w:rsid w:val="00EE38B9"/>
    <w:rsid w:val="00F2076E"/>
    <w:rsid w:val="00F31C3F"/>
    <w:rsid w:val="00F362FB"/>
    <w:rsid w:val="00F400CA"/>
    <w:rsid w:val="00F42E8E"/>
    <w:rsid w:val="00F52BB9"/>
    <w:rsid w:val="00F55500"/>
    <w:rsid w:val="00F6401F"/>
    <w:rsid w:val="00F71397"/>
    <w:rsid w:val="00F71DDC"/>
    <w:rsid w:val="00F82C46"/>
    <w:rsid w:val="00F8444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ydekmistek.cz" TargetMode="External"/><Relationship Id="rId4" Type="http://schemas.openxmlformats.org/officeDocument/2006/relationships/settings" Target="settings.xml"/><Relationship Id="rId9" Type="http://schemas.openxmlformats.org/officeDocument/2006/relationships/hyperlink" Target="mailto:musalek.martin@frydekmiste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9450-0312-40BF-8462-FF8FD71C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2893</Words>
  <Characters>17070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Tomáš Večeřa</cp:lastModifiedBy>
  <cp:revision>2</cp:revision>
  <cp:lastPrinted>2024-02-28T13:14:00Z</cp:lastPrinted>
  <dcterms:created xsi:type="dcterms:W3CDTF">2025-04-30T08:55:00Z</dcterms:created>
  <dcterms:modified xsi:type="dcterms:W3CDTF">2025-04-30T08:55:00Z</dcterms:modified>
</cp:coreProperties>
</file>