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E0162C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0162C">
              <w:rPr>
                <w:rFonts w:ascii="Tahoma" w:hAnsi="Tahoma" w:cs="Tahoma"/>
                <w:b/>
                <w:sz w:val="21"/>
                <w:szCs w:val="21"/>
              </w:rPr>
              <w:t>Studie proveditelnosti FVE na objektech SMFM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6A454D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E0162C">
              <w:rPr>
                <w:rFonts w:ascii="Tahoma" w:hAnsi="Tahoma" w:cs="Tahoma"/>
                <w:b/>
                <w:bCs/>
                <w:sz w:val="21"/>
                <w:szCs w:val="21"/>
              </w:rPr>
              <w:t>73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20A5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E0162C"/>
    <w:rsid w:val="00E128D9"/>
    <w:rsid w:val="00E305F9"/>
    <w:rsid w:val="00E444A8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1CE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46</cp:revision>
  <cp:lastPrinted>2017-10-05T08:08:00Z</cp:lastPrinted>
  <dcterms:created xsi:type="dcterms:W3CDTF">2016-11-02T13:59:00Z</dcterms:created>
  <dcterms:modified xsi:type="dcterms:W3CDTF">2022-06-27T11:10:00Z</dcterms:modified>
</cp:coreProperties>
</file>